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B2" w:rsidRPr="00B55A42" w:rsidRDefault="00662638" w:rsidP="00B55A42">
      <w:pPr>
        <w:jc w:val="center"/>
        <w:outlineLvl w:val="1"/>
        <w:rPr>
          <w:rFonts w:eastAsia="Times New Roman"/>
          <w:b/>
          <w:bCs/>
        </w:rPr>
      </w:pPr>
      <w:r w:rsidRPr="00B55A42">
        <w:rPr>
          <w:rFonts w:eastAsia="Times New Roman"/>
          <w:b/>
          <w:bCs/>
        </w:rPr>
        <w:t>ENGL 1100</w:t>
      </w:r>
      <w:r w:rsidR="00B55A42">
        <w:rPr>
          <w:rFonts w:eastAsia="Times New Roman"/>
          <w:b/>
          <w:bCs/>
        </w:rPr>
        <w:t>: Portfolio Rubric</w:t>
      </w:r>
    </w:p>
    <w:p w:rsidR="004E58A4" w:rsidRDefault="004E58A4" w:rsidP="004E58A4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790"/>
        <w:gridCol w:w="1845"/>
        <w:gridCol w:w="1845"/>
        <w:gridCol w:w="1845"/>
        <w:gridCol w:w="1791"/>
      </w:tblGrid>
      <w:tr w:rsidR="00BE3272" w:rsidRPr="004E58A4" w:rsidTr="00BE3272">
        <w:trPr>
          <w:trHeight w:val="220"/>
        </w:trPr>
        <w:tc>
          <w:tcPr>
            <w:tcW w:w="212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166E6" w:rsidRPr="004E58A4" w:rsidRDefault="003166E6" w:rsidP="004E58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:rsidR="003166E6" w:rsidRDefault="003166E6" w:rsidP="00917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 (5)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3166E6" w:rsidRPr="004E58A4" w:rsidRDefault="003166E6" w:rsidP="009174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good (4)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3166E6" w:rsidRPr="004E58A4" w:rsidRDefault="003166E6" w:rsidP="009174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Adequate (3)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3166E6" w:rsidRPr="004E58A4" w:rsidRDefault="003166E6" w:rsidP="009174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(2)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3166E6" w:rsidRPr="004E58A4" w:rsidRDefault="003166E6" w:rsidP="009174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Insufficient (1)</w:t>
            </w:r>
          </w:p>
        </w:tc>
      </w:tr>
      <w:tr w:rsidR="00BE3272" w:rsidRPr="004E58A4" w:rsidTr="00BE3272">
        <w:trPr>
          <w:trHeight w:val="2252"/>
        </w:trPr>
        <w:tc>
          <w:tcPr>
            <w:tcW w:w="2123" w:type="dxa"/>
            <w:shd w:val="clear" w:color="auto" w:fill="D9D9D9" w:themeFill="background1" w:themeFillShade="D9"/>
          </w:tcPr>
          <w:p w:rsidR="003166E6" w:rsidRDefault="003166E6" w:rsidP="00FE2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Inquiry</w:t>
            </w:r>
          </w:p>
          <w:p w:rsidR="00D24CEC" w:rsidRPr="004E58A4" w:rsidRDefault="00D24CEC" w:rsidP="00FE2CF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(SLO 1)</w:t>
            </w:r>
          </w:p>
        </w:tc>
        <w:tc>
          <w:tcPr>
            <w:tcW w:w="2471" w:type="dxa"/>
          </w:tcPr>
          <w:p w:rsidR="003166E6" w:rsidRPr="00385779" w:rsidRDefault="003166E6" w:rsidP="00D24CEC">
            <w:pPr>
              <w:rPr>
                <w:sz w:val="20"/>
                <w:szCs w:val="18"/>
              </w:rPr>
            </w:pPr>
            <w:r w:rsidRPr="00B55A42">
              <w:rPr>
                <w:sz w:val="18"/>
                <w:szCs w:val="18"/>
              </w:rPr>
              <w:t xml:space="preserve">The projects demonstrate an exceptional ability to create, identify, and engage in significant questions that </w:t>
            </w:r>
            <w:r w:rsidR="0086277E" w:rsidRPr="00B55A42">
              <w:rPr>
                <w:sz w:val="18"/>
                <w:szCs w:val="18"/>
              </w:rPr>
              <w:t xml:space="preserve">effectively </w:t>
            </w:r>
            <w:r w:rsidRPr="00B55A42">
              <w:rPr>
                <w:sz w:val="18"/>
                <w:szCs w:val="18"/>
              </w:rPr>
              <w:t>drive the discussions in the projects</w:t>
            </w:r>
            <w:r>
              <w:rPr>
                <w:sz w:val="20"/>
                <w:szCs w:val="18"/>
              </w:rPr>
              <w:t xml:space="preserve">.  </w:t>
            </w:r>
          </w:p>
        </w:tc>
        <w:tc>
          <w:tcPr>
            <w:tcW w:w="2471" w:type="dxa"/>
          </w:tcPr>
          <w:p w:rsidR="003166E6" w:rsidRPr="00B55A42" w:rsidRDefault="003166E6" w:rsidP="00D24CEC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sz w:val="18"/>
                <w:szCs w:val="18"/>
              </w:rPr>
              <w:t xml:space="preserve">The projects demonstrate, with only minor lapses, a strong ability to create, identify, and engage in significant questions </w:t>
            </w:r>
            <w:r w:rsidR="00BE3272" w:rsidRPr="00B55A42">
              <w:rPr>
                <w:sz w:val="18"/>
                <w:szCs w:val="18"/>
              </w:rPr>
              <w:t>that</w:t>
            </w:r>
            <w:r w:rsidR="0086277E" w:rsidRPr="00B55A42">
              <w:rPr>
                <w:sz w:val="18"/>
                <w:szCs w:val="18"/>
              </w:rPr>
              <w:t xml:space="preserve"> mostly</w:t>
            </w:r>
            <w:r w:rsidR="00BE3272" w:rsidRPr="00B55A42">
              <w:rPr>
                <w:sz w:val="18"/>
                <w:szCs w:val="18"/>
              </w:rPr>
              <w:t xml:space="preserve"> drive the discussions in the projects.</w:t>
            </w:r>
          </w:p>
        </w:tc>
        <w:tc>
          <w:tcPr>
            <w:tcW w:w="2471" w:type="dxa"/>
          </w:tcPr>
          <w:p w:rsidR="003166E6" w:rsidRPr="00B55A42" w:rsidRDefault="003166E6" w:rsidP="00D24CEC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 an inconsistent ability to create, identify, and </w:t>
            </w:r>
            <w:r w:rsidR="00BE3272" w:rsidRPr="00B55A42">
              <w:rPr>
                <w:rFonts w:eastAsia="Times New Roman"/>
                <w:sz w:val="18"/>
                <w:szCs w:val="18"/>
              </w:rPr>
              <w:t xml:space="preserve">engage in questions that </w:t>
            </w:r>
            <w:r w:rsidR="0086277E" w:rsidRPr="00B55A42">
              <w:rPr>
                <w:rFonts w:eastAsia="Times New Roman"/>
                <w:sz w:val="18"/>
                <w:szCs w:val="18"/>
              </w:rPr>
              <w:t xml:space="preserve">inconsistently </w:t>
            </w:r>
            <w:r w:rsidR="00BE3272" w:rsidRPr="00B55A42">
              <w:rPr>
                <w:rFonts w:eastAsia="Times New Roman"/>
                <w:sz w:val="18"/>
                <w:szCs w:val="18"/>
              </w:rPr>
              <w:t xml:space="preserve">drive the discussions in the projects. </w:t>
            </w:r>
          </w:p>
        </w:tc>
        <w:tc>
          <w:tcPr>
            <w:tcW w:w="2471" w:type="dxa"/>
          </w:tcPr>
          <w:p w:rsidR="003166E6" w:rsidRPr="00B55A42" w:rsidRDefault="003166E6" w:rsidP="00D24CEC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 a limited ability to create, identify, and engage in questions </w:t>
            </w:r>
            <w:r w:rsidR="00BE3272" w:rsidRPr="00B55A42">
              <w:rPr>
                <w:rFonts w:eastAsia="Times New Roman"/>
                <w:sz w:val="18"/>
                <w:szCs w:val="18"/>
              </w:rPr>
              <w:t xml:space="preserve">that </w:t>
            </w:r>
            <w:r w:rsidR="0086277E" w:rsidRPr="00B55A42">
              <w:rPr>
                <w:rFonts w:eastAsia="Times New Roman"/>
                <w:sz w:val="18"/>
                <w:szCs w:val="18"/>
              </w:rPr>
              <w:t xml:space="preserve">somewhat </w:t>
            </w:r>
            <w:r w:rsidR="00BE3272" w:rsidRPr="00B55A42">
              <w:rPr>
                <w:rFonts w:eastAsia="Times New Roman"/>
                <w:sz w:val="18"/>
                <w:szCs w:val="18"/>
              </w:rPr>
              <w:t xml:space="preserve">drive the discussions in the projects. </w:t>
            </w:r>
          </w:p>
        </w:tc>
        <w:tc>
          <w:tcPr>
            <w:tcW w:w="2472" w:type="dxa"/>
          </w:tcPr>
          <w:p w:rsidR="003166E6" w:rsidRPr="00B55A42" w:rsidRDefault="003166E6" w:rsidP="00D24CEC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>The projects do not demonstrate a college-level ability to create, identify, and</w:t>
            </w:r>
            <w:r w:rsidR="00BE3272" w:rsidRPr="00B55A42">
              <w:rPr>
                <w:rFonts w:eastAsia="Times New Roman"/>
                <w:sz w:val="18"/>
                <w:szCs w:val="18"/>
              </w:rPr>
              <w:t xml:space="preserve"> enga</w:t>
            </w:r>
            <w:r w:rsidR="0086277E" w:rsidRPr="00B55A42">
              <w:rPr>
                <w:rFonts w:eastAsia="Times New Roman"/>
                <w:sz w:val="18"/>
                <w:szCs w:val="18"/>
              </w:rPr>
              <w:t xml:space="preserve">ge in questions that </w:t>
            </w:r>
            <w:r w:rsidR="00BE3272" w:rsidRPr="00B55A42">
              <w:rPr>
                <w:rFonts w:eastAsia="Times New Roman"/>
                <w:sz w:val="18"/>
                <w:szCs w:val="18"/>
              </w:rPr>
              <w:t xml:space="preserve">drive the discussions in the projects. </w:t>
            </w:r>
          </w:p>
        </w:tc>
      </w:tr>
      <w:tr w:rsidR="00BE3272" w:rsidRPr="004E58A4" w:rsidTr="00BE3272">
        <w:trPr>
          <w:trHeight w:val="1354"/>
        </w:trPr>
        <w:tc>
          <w:tcPr>
            <w:tcW w:w="2123" w:type="dxa"/>
            <w:shd w:val="clear" w:color="auto" w:fill="D9D9D9" w:themeFill="background1" w:themeFillShade="D9"/>
          </w:tcPr>
          <w:p w:rsidR="003166E6" w:rsidRDefault="009C5F1C" w:rsidP="004E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Purpose,</w:t>
            </w:r>
            <w:bookmarkStart w:id="0" w:name="_GoBack"/>
            <w:bookmarkEnd w:id="0"/>
            <w:r w:rsidR="003166E6">
              <w:rPr>
                <w:b/>
                <w:sz w:val="20"/>
                <w:szCs w:val="20"/>
              </w:rPr>
              <w:t xml:space="preserve"> Audience, and Context</w:t>
            </w:r>
          </w:p>
          <w:p w:rsidR="00D24CEC" w:rsidRPr="004E58A4" w:rsidRDefault="00D24CEC" w:rsidP="004E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(SLO 2, 5)</w:t>
            </w:r>
          </w:p>
        </w:tc>
        <w:tc>
          <w:tcPr>
            <w:tcW w:w="2471" w:type="dxa"/>
          </w:tcPr>
          <w:p w:rsidR="003166E6" w:rsidRPr="00B55A42" w:rsidRDefault="003166E6" w:rsidP="004E58A4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 exceptional awareness of purposes, audiences, and contexts. </w:t>
            </w:r>
          </w:p>
        </w:tc>
        <w:tc>
          <w:tcPr>
            <w:tcW w:w="2471" w:type="dxa"/>
          </w:tcPr>
          <w:p w:rsidR="003166E6" w:rsidRPr="00B55A42" w:rsidRDefault="003166E6" w:rsidP="004E58A4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demonstrate, with only minor lapses, steady awareness of purposes, audiences, and contexts. </w:t>
            </w:r>
          </w:p>
        </w:tc>
        <w:tc>
          <w:tcPr>
            <w:tcW w:w="2471" w:type="dxa"/>
          </w:tcPr>
          <w:p w:rsidR="003166E6" w:rsidRPr="00B55A42" w:rsidRDefault="003166E6" w:rsidP="009174B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 an inconsistent awareness of purposes, audiences, and contexts. </w:t>
            </w:r>
          </w:p>
        </w:tc>
        <w:tc>
          <w:tcPr>
            <w:tcW w:w="2471" w:type="dxa"/>
          </w:tcPr>
          <w:p w:rsidR="003166E6" w:rsidRPr="00B55A42" w:rsidRDefault="003166E6" w:rsidP="009174B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 a limited awareness of purposes, audiences, and contexts. </w:t>
            </w:r>
          </w:p>
        </w:tc>
        <w:tc>
          <w:tcPr>
            <w:tcW w:w="2472" w:type="dxa"/>
          </w:tcPr>
          <w:p w:rsidR="003166E6" w:rsidRPr="00B55A42" w:rsidRDefault="003166E6" w:rsidP="009174B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do not demonstrate a college-level awareness of purposes, audiences, and contexts. </w:t>
            </w:r>
          </w:p>
        </w:tc>
      </w:tr>
      <w:tr w:rsidR="00BE3272" w:rsidRPr="004E58A4" w:rsidTr="00BE3272">
        <w:trPr>
          <w:trHeight w:val="2252"/>
        </w:trPr>
        <w:tc>
          <w:tcPr>
            <w:tcW w:w="2123" w:type="dxa"/>
            <w:shd w:val="clear" w:color="auto" w:fill="D9D9D9" w:themeFill="background1" w:themeFillShade="D9"/>
          </w:tcPr>
          <w:p w:rsidR="003166E6" w:rsidRDefault="003166E6" w:rsidP="004E58A4">
            <w:pPr>
              <w:rPr>
                <w:b/>
                <w:sz w:val="20"/>
                <w:szCs w:val="20"/>
              </w:rPr>
            </w:pPr>
            <w:r w:rsidRPr="004E58A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ritical Engagement with and Use of Evidence</w:t>
            </w:r>
          </w:p>
          <w:p w:rsidR="00D24CEC" w:rsidRPr="004E58A4" w:rsidRDefault="00D24CEC" w:rsidP="004E58A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(SLO 6)</w:t>
            </w:r>
          </w:p>
        </w:tc>
        <w:tc>
          <w:tcPr>
            <w:tcW w:w="2471" w:type="dxa"/>
          </w:tcPr>
          <w:p w:rsidR="003166E6" w:rsidRPr="00B55A42" w:rsidRDefault="00324EDF" w:rsidP="004E58A4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>The projects demonstrate an exceptional ability to rhetorically engage and integrate a variety of appropriate sources to support the central claims.</w:t>
            </w:r>
          </w:p>
        </w:tc>
        <w:tc>
          <w:tcPr>
            <w:tcW w:w="2471" w:type="dxa"/>
          </w:tcPr>
          <w:p w:rsidR="003166E6" w:rsidRPr="00B55A42" w:rsidRDefault="00324EDF" w:rsidP="004E58A4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demonstrate, with only minor lapses, a strong ability to rhetorically engage and integrate a variety of appropriate sources to support the central claims. </w:t>
            </w:r>
          </w:p>
        </w:tc>
        <w:tc>
          <w:tcPr>
            <w:tcW w:w="2471" w:type="dxa"/>
          </w:tcPr>
          <w:p w:rsidR="003166E6" w:rsidRPr="00B55A42" w:rsidRDefault="00324EDF" w:rsidP="004E58A4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 an inconsistent ability to rhetorically engage and integrate a limited number of appropriate sources to support the central claims. </w:t>
            </w:r>
          </w:p>
        </w:tc>
        <w:tc>
          <w:tcPr>
            <w:tcW w:w="2471" w:type="dxa"/>
          </w:tcPr>
          <w:p w:rsidR="003166E6" w:rsidRPr="00B55A42" w:rsidRDefault="00324EDF" w:rsidP="009174B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demonstrate a limited ability to rhetorically engage and integrate sources to support the central claims. </w:t>
            </w:r>
          </w:p>
        </w:tc>
        <w:tc>
          <w:tcPr>
            <w:tcW w:w="2472" w:type="dxa"/>
          </w:tcPr>
          <w:p w:rsidR="003166E6" w:rsidRPr="00B55A42" w:rsidRDefault="00324EDF" w:rsidP="009174B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do not demonstrate a college-level ability to rhetorically engage and integrate sources to support the central claims. </w:t>
            </w:r>
          </w:p>
        </w:tc>
      </w:tr>
      <w:tr w:rsidR="00BE3272" w:rsidRPr="004E58A4" w:rsidTr="00BE3272">
        <w:trPr>
          <w:trHeight w:val="2709"/>
        </w:trPr>
        <w:tc>
          <w:tcPr>
            <w:tcW w:w="2123" w:type="dxa"/>
            <w:shd w:val="clear" w:color="auto" w:fill="D9D9D9" w:themeFill="background1" w:themeFillShade="D9"/>
          </w:tcPr>
          <w:p w:rsidR="003166E6" w:rsidRDefault="003166E6" w:rsidP="004E58A4">
            <w:pPr>
              <w:rPr>
                <w:b/>
                <w:sz w:val="20"/>
                <w:szCs w:val="20"/>
              </w:rPr>
            </w:pPr>
            <w:r w:rsidRPr="004E58A4">
              <w:rPr>
                <w:b/>
                <w:sz w:val="20"/>
                <w:szCs w:val="20"/>
              </w:rPr>
              <w:t>Expression</w:t>
            </w:r>
            <w:r>
              <w:rPr>
                <w:b/>
                <w:sz w:val="20"/>
                <w:szCs w:val="20"/>
              </w:rPr>
              <w:t xml:space="preserve"> and Organization</w:t>
            </w:r>
          </w:p>
          <w:p w:rsidR="00D24CEC" w:rsidRPr="004E58A4" w:rsidRDefault="00D24CEC" w:rsidP="004E58A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(SLO 3, 4, 7)</w:t>
            </w:r>
          </w:p>
        </w:tc>
        <w:tc>
          <w:tcPr>
            <w:tcW w:w="2471" w:type="dxa"/>
          </w:tcPr>
          <w:p w:rsidR="003166E6" w:rsidRPr="00B55A42" w:rsidRDefault="00324EDF" w:rsidP="00324EDF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Organization rhetorically enhances the development of the central claims. Sentences and paragraphs are logically connected with a minimum of grammar and punctuation errors. </w:t>
            </w:r>
            <w:r w:rsidR="00D24CEC" w:rsidRPr="00B55A42">
              <w:rPr>
                <w:rFonts w:eastAsia="Times New Roman"/>
                <w:sz w:val="18"/>
                <w:szCs w:val="18"/>
              </w:rPr>
              <w:t>Projects demonstrate effective revising and editing.</w:t>
            </w:r>
          </w:p>
        </w:tc>
        <w:tc>
          <w:tcPr>
            <w:tcW w:w="2471" w:type="dxa"/>
          </w:tcPr>
          <w:p w:rsidR="003166E6" w:rsidRPr="00B55A42" w:rsidRDefault="00324EDF" w:rsidP="00620C30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Organization rhetorically enhances, with only minor lapses, the development of the central claims. Sentences and paragraphs are connected with a few lapses </w:t>
            </w:r>
            <w:r w:rsidR="00934827" w:rsidRPr="00B55A42">
              <w:rPr>
                <w:rFonts w:eastAsia="Times New Roman"/>
                <w:sz w:val="18"/>
                <w:szCs w:val="18"/>
              </w:rPr>
              <w:t>in transition and explanation. Grammar and punctuation errors are rare but obvious but do not interfere in meaning of communication.</w:t>
            </w:r>
            <w:r w:rsidR="00D24CEC" w:rsidRPr="00B55A42">
              <w:rPr>
                <w:rFonts w:eastAsia="Times New Roman"/>
                <w:sz w:val="18"/>
                <w:szCs w:val="18"/>
              </w:rPr>
              <w:t xml:space="preserve"> Projects demonstrate revising and editing.</w:t>
            </w:r>
          </w:p>
        </w:tc>
        <w:tc>
          <w:tcPr>
            <w:tcW w:w="2471" w:type="dxa"/>
          </w:tcPr>
          <w:p w:rsidR="003166E6" w:rsidRPr="00B55A42" w:rsidRDefault="00934827" w:rsidP="00934827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Organization inconsistently enhances the development of the central claims. </w:t>
            </w:r>
            <w:r w:rsidR="003166E6" w:rsidRPr="00B55A42">
              <w:rPr>
                <w:rFonts w:eastAsia="Times New Roman"/>
                <w:sz w:val="18"/>
                <w:szCs w:val="18"/>
              </w:rPr>
              <w:t xml:space="preserve">The documents clearly convey meaning, but contain some sentence-level errors that impede flow. </w:t>
            </w:r>
            <w:r w:rsidRPr="00B55A42">
              <w:rPr>
                <w:rFonts w:eastAsia="Times New Roman"/>
                <w:sz w:val="18"/>
                <w:szCs w:val="18"/>
              </w:rPr>
              <w:t>Grammar and punctuation errors occur regularly and may interfere in meaning of communication.</w:t>
            </w:r>
            <w:r w:rsidR="00D24CEC" w:rsidRPr="00B55A42">
              <w:rPr>
                <w:rFonts w:eastAsia="Times New Roman"/>
                <w:sz w:val="18"/>
                <w:szCs w:val="18"/>
              </w:rPr>
              <w:t xml:space="preserve"> Projects demonstrate some revising and editing.</w:t>
            </w:r>
          </w:p>
        </w:tc>
        <w:tc>
          <w:tcPr>
            <w:tcW w:w="2471" w:type="dxa"/>
          </w:tcPr>
          <w:p w:rsidR="003166E6" w:rsidRPr="00B55A42" w:rsidRDefault="00934827" w:rsidP="00D24CEC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>The projects lack clear organization and development of central claims. Sentences and paragraphs are not clearly developed or logically connected and often impede flow. Grammar and punctuation e</w:t>
            </w:r>
            <w:r w:rsidR="003166E6" w:rsidRPr="00B55A42">
              <w:rPr>
                <w:rFonts w:eastAsia="Times New Roman"/>
                <w:sz w:val="18"/>
                <w:szCs w:val="18"/>
              </w:rPr>
              <w:t xml:space="preserve">rrors </w:t>
            </w:r>
            <w:r w:rsidRPr="00B55A42">
              <w:rPr>
                <w:rFonts w:eastAsia="Times New Roman"/>
                <w:sz w:val="18"/>
                <w:szCs w:val="18"/>
              </w:rPr>
              <w:t>largely interfere in meaning of communication.</w:t>
            </w:r>
            <w:r w:rsidR="00B55A42" w:rsidRPr="00B55A42">
              <w:rPr>
                <w:rFonts w:eastAsia="Times New Roman"/>
                <w:sz w:val="18"/>
                <w:szCs w:val="18"/>
              </w:rPr>
              <w:t xml:space="preserve"> </w:t>
            </w:r>
            <w:r w:rsidR="00D24CEC" w:rsidRPr="00B55A42">
              <w:rPr>
                <w:rFonts w:eastAsia="Times New Roman"/>
                <w:sz w:val="18"/>
                <w:szCs w:val="18"/>
              </w:rPr>
              <w:t>Projects demonstrate very little revising and editing.</w:t>
            </w:r>
          </w:p>
        </w:tc>
        <w:tc>
          <w:tcPr>
            <w:tcW w:w="2472" w:type="dxa"/>
          </w:tcPr>
          <w:p w:rsidR="00934827" w:rsidRPr="00B55A42" w:rsidRDefault="00934827" w:rsidP="00324DA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do not demonstrate college-level organization and development. Sentences and paragraphs </w:t>
            </w:r>
            <w:r w:rsidR="00BE3272" w:rsidRPr="00B55A42">
              <w:rPr>
                <w:rFonts w:eastAsia="Times New Roman"/>
                <w:sz w:val="18"/>
                <w:szCs w:val="18"/>
              </w:rPr>
              <w:t>lack academic development, revision, and editing.</w:t>
            </w:r>
          </w:p>
          <w:p w:rsidR="003166E6" w:rsidRPr="00B55A42" w:rsidRDefault="003166E6" w:rsidP="00324DA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3272" w:rsidRPr="004E58A4" w:rsidTr="00BE3272">
        <w:trPr>
          <w:trHeight w:val="2709"/>
        </w:trPr>
        <w:tc>
          <w:tcPr>
            <w:tcW w:w="2123" w:type="dxa"/>
            <w:shd w:val="clear" w:color="auto" w:fill="D9D9D9" w:themeFill="background1" w:themeFillShade="D9"/>
          </w:tcPr>
          <w:p w:rsidR="00B55A42" w:rsidRDefault="003166E6" w:rsidP="004E58A4">
            <w:pPr>
              <w:rPr>
                <w:b/>
                <w:sz w:val="20"/>
                <w:szCs w:val="20"/>
              </w:rPr>
            </w:pPr>
            <w:r w:rsidRPr="004E58A4">
              <w:rPr>
                <w:b/>
                <w:sz w:val="20"/>
                <w:szCs w:val="20"/>
              </w:rPr>
              <w:t>Formatting and Citation</w:t>
            </w:r>
          </w:p>
          <w:p w:rsidR="00EA4633" w:rsidRPr="004E58A4" w:rsidRDefault="00B55A42" w:rsidP="004E58A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(SLO 8)</w:t>
            </w:r>
          </w:p>
        </w:tc>
        <w:tc>
          <w:tcPr>
            <w:tcW w:w="2471" w:type="dxa"/>
          </w:tcPr>
          <w:p w:rsidR="003166E6" w:rsidRPr="00B55A42" w:rsidRDefault="00BE3272" w:rsidP="004E58A4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follow standard formatting and documentation guidelines. Attributions are completely and meet the appropriate style guidelines (APA, Chicago, CSE, or MLA). </w:t>
            </w:r>
          </w:p>
        </w:tc>
        <w:tc>
          <w:tcPr>
            <w:tcW w:w="2471" w:type="dxa"/>
          </w:tcPr>
          <w:p w:rsidR="003166E6" w:rsidRPr="00B55A42" w:rsidRDefault="00BE3272" w:rsidP="00BE327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generally follow formatting and documentation guidelines. Errors in the appropriate style guidelines (APA, Chicago, CSE, or MLA) are negligible and do not affect the integrity of the work. </w:t>
            </w:r>
          </w:p>
        </w:tc>
        <w:tc>
          <w:tcPr>
            <w:tcW w:w="2471" w:type="dxa"/>
          </w:tcPr>
          <w:p w:rsidR="003166E6" w:rsidRPr="00B55A42" w:rsidRDefault="00BE3272" w:rsidP="00324DA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 xml:space="preserve">The projects inconsistently follow formatting and documentation guidelines. Errors in the appropriate style guidelines (APA, Chicago, CSE, or MLA) occur regularly. </w:t>
            </w:r>
          </w:p>
        </w:tc>
        <w:tc>
          <w:tcPr>
            <w:tcW w:w="2471" w:type="dxa"/>
          </w:tcPr>
          <w:p w:rsidR="003166E6" w:rsidRPr="00B55A42" w:rsidRDefault="00BE3272" w:rsidP="004E58A4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sz w:val="18"/>
                <w:szCs w:val="18"/>
              </w:rPr>
              <w:t>The projects randomly follow formatting and documentation guidelines. Errors in the appropriate style guidelines (APA, Chicago, CSE, or MLA) compromise the integrity and honesty of the projects.</w:t>
            </w:r>
          </w:p>
        </w:tc>
        <w:tc>
          <w:tcPr>
            <w:tcW w:w="2472" w:type="dxa"/>
          </w:tcPr>
          <w:p w:rsidR="003166E6" w:rsidRPr="00B55A42" w:rsidRDefault="00BE3272" w:rsidP="00324DA2">
            <w:pPr>
              <w:rPr>
                <w:rFonts w:eastAsia="Times New Roman"/>
                <w:sz w:val="18"/>
                <w:szCs w:val="18"/>
              </w:rPr>
            </w:pPr>
            <w:r w:rsidRPr="00B55A42">
              <w:rPr>
                <w:rFonts w:eastAsia="Times New Roman"/>
                <w:sz w:val="18"/>
                <w:szCs w:val="18"/>
              </w:rPr>
              <w:t>The projects show little to no adherence to formatting and documen</w:t>
            </w:r>
            <w:r w:rsidR="00E94E3F">
              <w:rPr>
                <w:rFonts w:eastAsia="Times New Roman"/>
                <w:sz w:val="18"/>
                <w:szCs w:val="18"/>
              </w:rPr>
              <w:t>tation guidelines. Plagiarism may be</w:t>
            </w:r>
            <w:r w:rsidRPr="00B55A42">
              <w:rPr>
                <w:rFonts w:eastAsia="Times New Roman"/>
                <w:sz w:val="18"/>
                <w:szCs w:val="18"/>
              </w:rPr>
              <w:t xml:space="preserve"> evident.</w:t>
            </w:r>
          </w:p>
        </w:tc>
      </w:tr>
    </w:tbl>
    <w:p w:rsidR="004E58A4" w:rsidRPr="004E58A4" w:rsidRDefault="004E58A4" w:rsidP="004E58A4">
      <w:pPr>
        <w:rPr>
          <w:rFonts w:eastAsia="Times New Roman"/>
        </w:rPr>
      </w:pPr>
    </w:p>
    <w:sectPr w:rsidR="004E58A4" w:rsidRPr="004E58A4" w:rsidSect="00B55A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9D" w:rsidRDefault="00E0159D" w:rsidP="00FE2CFC">
      <w:r>
        <w:separator/>
      </w:r>
    </w:p>
  </w:endnote>
  <w:endnote w:type="continuationSeparator" w:id="0">
    <w:p w:rsidR="00E0159D" w:rsidRDefault="00E0159D" w:rsidP="00F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3F" w:rsidRPr="00E22F52" w:rsidRDefault="00E94E3F" w:rsidP="00E94E3F">
    <w:pPr>
      <w:pStyle w:val="Footer"/>
      <w:rPr>
        <w:rFonts w:asciiTheme="minorHAnsi" w:hAnsiTheme="minorHAnsi"/>
        <w:i/>
        <w:sz w:val="22"/>
      </w:rPr>
    </w:pPr>
    <w:r w:rsidRPr="00E22F52">
      <w:rPr>
        <w:rFonts w:asciiTheme="minorHAnsi" w:hAnsiTheme="minorHAnsi"/>
        <w:i/>
        <w:sz w:val="22"/>
      </w:rPr>
      <w:t>Approved by Composition Committee, April 11,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9D" w:rsidRDefault="00E0159D" w:rsidP="00FE2CFC">
      <w:r>
        <w:separator/>
      </w:r>
    </w:p>
  </w:footnote>
  <w:footnote w:type="continuationSeparator" w:id="0">
    <w:p w:rsidR="00E0159D" w:rsidRDefault="00E0159D" w:rsidP="00FE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A4"/>
    <w:rsid w:val="0012637B"/>
    <w:rsid w:val="001D3F77"/>
    <w:rsid w:val="002354C0"/>
    <w:rsid w:val="00246AFE"/>
    <w:rsid w:val="002A0B39"/>
    <w:rsid w:val="002B0CE6"/>
    <w:rsid w:val="003166E6"/>
    <w:rsid w:val="00324DA2"/>
    <w:rsid w:val="00324EDF"/>
    <w:rsid w:val="00385779"/>
    <w:rsid w:val="003C3C3B"/>
    <w:rsid w:val="00433D5C"/>
    <w:rsid w:val="004B4BF2"/>
    <w:rsid w:val="004D6178"/>
    <w:rsid w:val="004E58A4"/>
    <w:rsid w:val="004F04EF"/>
    <w:rsid w:val="00542141"/>
    <w:rsid w:val="005A5C4C"/>
    <w:rsid w:val="00605F43"/>
    <w:rsid w:val="00620C30"/>
    <w:rsid w:val="00662638"/>
    <w:rsid w:val="008121A1"/>
    <w:rsid w:val="00851221"/>
    <w:rsid w:val="0086277E"/>
    <w:rsid w:val="008D742C"/>
    <w:rsid w:val="008E6BFC"/>
    <w:rsid w:val="00901085"/>
    <w:rsid w:val="009174B2"/>
    <w:rsid w:val="0093295F"/>
    <w:rsid w:val="00933CAF"/>
    <w:rsid w:val="00934827"/>
    <w:rsid w:val="009C5F1C"/>
    <w:rsid w:val="009E45C5"/>
    <w:rsid w:val="009F372D"/>
    <w:rsid w:val="00A74B3B"/>
    <w:rsid w:val="00B55A42"/>
    <w:rsid w:val="00BE3272"/>
    <w:rsid w:val="00CE13B6"/>
    <w:rsid w:val="00D24CEC"/>
    <w:rsid w:val="00E0159D"/>
    <w:rsid w:val="00E90187"/>
    <w:rsid w:val="00E94E3F"/>
    <w:rsid w:val="00EA4633"/>
    <w:rsid w:val="00EB0C0A"/>
    <w:rsid w:val="00EC3780"/>
    <w:rsid w:val="00F8304B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5F640-4410-4D85-9F59-179278C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0A"/>
  </w:style>
  <w:style w:type="paragraph" w:styleId="Heading2">
    <w:name w:val="heading 2"/>
    <w:basedOn w:val="Normal"/>
    <w:link w:val="Heading2Char"/>
    <w:uiPriority w:val="9"/>
    <w:qFormat/>
    <w:rsid w:val="004E58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58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8A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8A4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58A4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4E5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ints">
    <w:name w:val="points"/>
    <w:basedOn w:val="DefaultParagraphFont"/>
    <w:rsid w:val="004E58A4"/>
  </w:style>
  <w:style w:type="paragraph" w:styleId="BalloonText">
    <w:name w:val="Balloon Text"/>
    <w:basedOn w:val="Normal"/>
    <w:link w:val="BalloonTextChar"/>
    <w:uiPriority w:val="99"/>
    <w:semiHidden/>
    <w:unhideWhenUsed/>
    <w:rsid w:val="0085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FC"/>
  </w:style>
  <w:style w:type="paragraph" w:styleId="Footer">
    <w:name w:val="footer"/>
    <w:basedOn w:val="Normal"/>
    <w:link w:val="FooterChar"/>
    <w:uiPriority w:val="99"/>
    <w:unhideWhenUsed/>
    <w:rsid w:val="00FE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00D2-1559-475D-9E63-923056BA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Ann Morse</dc:creator>
  <cp:lastModifiedBy>Morse, Tracy</cp:lastModifiedBy>
  <cp:revision>5</cp:revision>
  <cp:lastPrinted>2016-03-24T18:42:00Z</cp:lastPrinted>
  <dcterms:created xsi:type="dcterms:W3CDTF">2016-03-29T17:08:00Z</dcterms:created>
  <dcterms:modified xsi:type="dcterms:W3CDTF">2016-06-20T16:43:00Z</dcterms:modified>
</cp:coreProperties>
</file>