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50" w:rsidRPr="00A83A50" w:rsidRDefault="00A83A50">
      <w:pPr>
        <w:rPr>
          <w:u w:val="single"/>
        </w:rPr>
      </w:pPr>
      <w:r w:rsidRPr="00A83A50">
        <w:rPr>
          <w:u w:val="single"/>
        </w:rPr>
        <w:t>What is UDL?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3A50" w:rsidRDefault="00A83A50" w:rsidP="00A83A50">
      <w:pPr>
        <w:rPr>
          <w:rFonts w:eastAsia="Times New Roman"/>
          <w:b/>
          <w:bCs/>
        </w:rPr>
      </w:pPr>
    </w:p>
    <w:p w:rsidR="00A83A50" w:rsidRPr="00202D06" w:rsidRDefault="00A83A50" w:rsidP="00202D06">
      <w:pPr>
        <w:rPr>
          <w:rFonts w:eastAsia="Times New Roman"/>
        </w:rPr>
      </w:pPr>
      <w:r w:rsidRPr="00202D06">
        <w:rPr>
          <w:rFonts w:eastAsia="Times New Roman"/>
          <w:b/>
          <w:bCs/>
        </w:rPr>
        <w:t xml:space="preserve">Universal Design for Learning </w:t>
      </w:r>
      <w:r w:rsidRPr="00202D06">
        <w:rPr>
          <w:rFonts w:eastAsia="Times New Roman"/>
        </w:rPr>
        <w:t>is a set of principles for curriculum development that give</w:t>
      </w:r>
      <w:r w:rsidR="008B4BDF">
        <w:rPr>
          <w:rFonts w:eastAsia="Times New Roman"/>
        </w:rPr>
        <w:t>s</w:t>
      </w:r>
      <w:r w:rsidRPr="00202D06">
        <w:rPr>
          <w:rFonts w:eastAsia="Times New Roman"/>
        </w:rPr>
        <w:t xml:space="preserve"> all individuals equal opportunities to learn. UDL provides a blueprint for creating instructional goals, methods, materials, and ass</w:t>
      </w:r>
      <w:r w:rsidR="00202D06" w:rsidRPr="00202D06">
        <w:rPr>
          <w:rFonts w:eastAsia="Times New Roman"/>
        </w:rPr>
        <w:t>essments that work for everyone—</w:t>
      </w:r>
      <w:r w:rsidRPr="00202D06">
        <w:rPr>
          <w:rFonts w:eastAsia="Times New Roman"/>
        </w:rPr>
        <w:t>not a single, one-size-fits-all solution but rather flexible approaches that can be customized and adjusted for individual needs.</w:t>
      </w:r>
    </w:p>
    <w:p w:rsidR="00A83A50" w:rsidRPr="00202D06" w:rsidRDefault="00A83A50" w:rsidP="00202D06">
      <w:pPr>
        <w:outlineLvl w:val="2"/>
        <w:rPr>
          <w:rFonts w:eastAsia="Times New Roman"/>
          <w:b/>
          <w:bCs/>
        </w:rPr>
      </w:pPr>
    </w:p>
    <w:p w:rsidR="00202D06" w:rsidRPr="00202D06" w:rsidRDefault="00202D06" w:rsidP="00202D06">
      <w:pPr>
        <w:outlineLvl w:val="2"/>
        <w:rPr>
          <w:rFonts w:eastAsia="Times New Roman"/>
          <w:b/>
          <w:bCs/>
        </w:rPr>
      </w:pPr>
    </w:p>
    <w:p w:rsidR="00A83A50" w:rsidRPr="00202D06" w:rsidRDefault="00A83A50" w:rsidP="00202D06">
      <w:pPr>
        <w:outlineLvl w:val="2"/>
        <w:rPr>
          <w:rFonts w:eastAsia="Times New Roman"/>
          <w:b/>
          <w:bCs/>
        </w:rPr>
      </w:pPr>
      <w:r w:rsidRPr="00202D06">
        <w:rPr>
          <w:rFonts w:eastAsia="Times New Roman"/>
          <w:b/>
          <w:bCs/>
        </w:rPr>
        <w:t>Why is UDL necessary?</w:t>
      </w:r>
    </w:p>
    <w:p w:rsidR="00A83A50" w:rsidRPr="00202D06" w:rsidRDefault="00A83A50" w:rsidP="00202D06">
      <w:pPr>
        <w:outlineLvl w:val="2"/>
        <w:rPr>
          <w:rFonts w:eastAsia="Times New Roman"/>
          <w:b/>
          <w:bCs/>
        </w:rPr>
      </w:pPr>
      <w:r w:rsidRPr="00202D06">
        <w:rPr>
          <w:rFonts w:eastAsia="Times New Roman"/>
        </w:rPr>
        <w:t>Individuals bring a huge variety of skills, needs, and interests to learning. Neuroscience reveals that these differences are as varied and unique as our DNA or fingerprints. Three primary brain networks come into play:</w:t>
      </w:r>
    </w:p>
    <w:p w:rsidR="00202D06" w:rsidRDefault="00202D06" w:rsidP="00202D06">
      <w:pPr>
        <w:rPr>
          <w:rFonts w:eastAsia="Times New Roman"/>
          <w:b/>
          <w:bCs/>
        </w:rPr>
      </w:pPr>
    </w:p>
    <w:p w:rsidR="00202D06" w:rsidRPr="00202D06" w:rsidRDefault="00202D06" w:rsidP="00202D06">
      <w:pPr>
        <w:rPr>
          <w:rFonts w:eastAsia="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83A50" w:rsidTr="00A83A50">
        <w:tc>
          <w:tcPr>
            <w:tcW w:w="9576" w:type="dxa"/>
            <w:gridSpan w:val="3"/>
          </w:tcPr>
          <w:p w:rsidR="00202D06" w:rsidRDefault="00A83A50" w:rsidP="00202D06">
            <w:pPr>
              <w:pStyle w:val="Heading4"/>
              <w:spacing w:before="0" w:beforeAutospacing="0" w:after="0" w:afterAutospacing="0"/>
              <w:jc w:val="center"/>
            </w:pPr>
            <w:r w:rsidRPr="00A83A50">
              <w:t>Universal Design for Learning</w:t>
            </w:r>
          </w:p>
          <w:p w:rsidR="00315AA7" w:rsidRPr="00202D06" w:rsidRDefault="00315AA7" w:rsidP="00202D06">
            <w:pPr>
              <w:pStyle w:val="Heading4"/>
              <w:spacing w:before="0" w:beforeAutospacing="0" w:after="0" w:afterAutospacing="0"/>
              <w:jc w:val="center"/>
            </w:pPr>
          </w:p>
        </w:tc>
      </w:tr>
      <w:tr w:rsidR="00A83A50" w:rsidTr="00A83A50">
        <w:tc>
          <w:tcPr>
            <w:tcW w:w="3192" w:type="dxa"/>
          </w:tcPr>
          <w:p w:rsidR="00A83A50" w:rsidRPr="00A83A50" w:rsidRDefault="00A83A50" w:rsidP="00202D06">
            <w:pPr>
              <w:jc w:val="center"/>
              <w:rPr>
                <w:rFonts w:eastAsia="Times New Roman"/>
                <w:b/>
                <w:bCs/>
                <w:color w:val="993366"/>
              </w:rPr>
            </w:pPr>
            <w:r w:rsidRPr="00A83A50">
              <w:rPr>
                <w:rFonts w:eastAsia="Times New Roman"/>
                <w:b/>
                <w:bCs/>
                <w:color w:val="993366"/>
              </w:rPr>
              <w:t>Recognition Networks</w:t>
            </w:r>
          </w:p>
          <w:p w:rsidR="00A83A50" w:rsidRPr="00A83A50" w:rsidRDefault="00A83A50" w:rsidP="00202D06">
            <w:pPr>
              <w:jc w:val="center"/>
              <w:rPr>
                <w:rFonts w:eastAsia="Times New Roman"/>
                <w:bCs/>
              </w:rPr>
            </w:pPr>
            <w:r>
              <w:rPr>
                <w:rFonts w:eastAsia="Times New Roman"/>
                <w:bCs/>
              </w:rPr>
              <w:t>The “</w:t>
            </w:r>
            <w:r w:rsidRPr="00A83A50">
              <w:rPr>
                <w:rFonts w:eastAsia="Times New Roman"/>
                <w:bCs/>
              </w:rPr>
              <w:t>what</w:t>
            </w:r>
            <w:r>
              <w:rPr>
                <w:rFonts w:eastAsia="Times New Roman"/>
                <w:bCs/>
              </w:rPr>
              <w:t>”</w:t>
            </w:r>
            <w:r w:rsidRPr="00A83A50">
              <w:rPr>
                <w:rFonts w:eastAsia="Times New Roman"/>
                <w:bCs/>
              </w:rPr>
              <w:t xml:space="preserve"> of learning</w:t>
            </w:r>
          </w:p>
          <w:p w:rsidR="00A83A50" w:rsidRDefault="00A83A50" w:rsidP="00202D06">
            <w:pPr>
              <w:spacing w:before="120" w:after="100" w:afterAutospacing="1"/>
              <w:jc w:val="center"/>
              <w:rPr>
                <w:rFonts w:eastAsia="Times New Roman"/>
                <w:b/>
                <w:bCs/>
                <w:sz w:val="18"/>
                <w:szCs w:val="18"/>
              </w:rPr>
            </w:pPr>
            <w:r w:rsidRPr="00A83A50">
              <w:rPr>
                <w:rFonts w:eastAsia="Times New Roman"/>
                <w:b/>
                <w:bCs/>
                <w:noProof/>
                <w:sz w:val="18"/>
                <w:szCs w:val="18"/>
              </w:rPr>
              <w:drawing>
                <wp:inline distT="0" distB="0" distL="0" distR="0" wp14:anchorId="61B1ED1D" wp14:editId="01E24E60">
                  <wp:extent cx="1484630" cy="1306195"/>
                  <wp:effectExtent l="0" t="0" r="1270" b="8255"/>
                  <wp:docPr id="9" name="Picture 9" descr="image of a brain with the back por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of a brain with the back portion highligh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30" cy="1306195"/>
                          </a:xfrm>
                          <a:prstGeom prst="rect">
                            <a:avLst/>
                          </a:prstGeom>
                          <a:noFill/>
                          <a:ln>
                            <a:noFill/>
                          </a:ln>
                        </pic:spPr>
                      </pic:pic>
                    </a:graphicData>
                  </a:graphic>
                </wp:inline>
              </w:drawing>
            </w:r>
          </w:p>
          <w:p w:rsidR="00202D06" w:rsidRPr="00A83A50" w:rsidRDefault="00202D06" w:rsidP="00202D06">
            <w:pPr>
              <w:jc w:val="center"/>
              <w:rPr>
                <w:rFonts w:eastAsia="Times New Roman"/>
                <w:b/>
                <w:bCs/>
                <w:sz w:val="18"/>
                <w:szCs w:val="18"/>
              </w:rPr>
            </w:pPr>
          </w:p>
          <w:p w:rsidR="00A83A50" w:rsidRDefault="00A83A50" w:rsidP="00202D06">
            <w:pPr>
              <w:rPr>
                <w:rFonts w:eastAsia="Times New Roman"/>
                <w:bCs/>
              </w:rPr>
            </w:pPr>
            <w:r w:rsidRPr="00A83A50">
              <w:rPr>
                <w:rFonts w:eastAsia="Times New Roman"/>
                <w:bCs/>
              </w:rPr>
              <w:t>How we gather facts and categorize what we see, hear, and read. Identifyi</w:t>
            </w:r>
            <w:r>
              <w:rPr>
                <w:rFonts w:eastAsia="Times New Roman"/>
                <w:bCs/>
              </w:rPr>
              <w:t>ng letters, words, or an author’</w:t>
            </w:r>
            <w:r w:rsidRPr="00A83A50">
              <w:rPr>
                <w:rFonts w:eastAsia="Times New Roman"/>
                <w:bCs/>
              </w:rPr>
              <w:t>s style are recognition tasks.</w:t>
            </w:r>
          </w:p>
          <w:p w:rsidR="00202D06" w:rsidRDefault="00202D06" w:rsidP="00202D06">
            <w:pPr>
              <w:rPr>
                <w:rFonts w:eastAsia="Times New Roman"/>
                <w:bCs/>
              </w:rPr>
            </w:pPr>
          </w:p>
          <w:p w:rsidR="00A83A50" w:rsidRPr="00A83A50" w:rsidRDefault="00A83A50" w:rsidP="00A83A50">
            <w:pPr>
              <w:pStyle w:val="NormalWeb"/>
              <w:shd w:val="clear" w:color="auto" w:fill="EFD9EA"/>
              <w:spacing w:before="0" w:beforeAutospacing="0" w:after="0" w:afterAutospacing="0"/>
            </w:pPr>
            <w:r>
              <w:rPr>
                <w:noProof/>
              </w:rPr>
              <w:drawing>
                <wp:inline distT="0" distB="0" distL="0" distR="0" wp14:anchorId="0CC70A8F" wp14:editId="4AECD03D">
                  <wp:extent cx="302895" cy="267335"/>
                  <wp:effectExtent l="0" t="0" r="1905" b="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 cy="267335"/>
                          </a:xfrm>
                          <a:prstGeom prst="rect">
                            <a:avLst/>
                          </a:prstGeom>
                          <a:noFill/>
                          <a:ln>
                            <a:noFill/>
                          </a:ln>
                        </pic:spPr>
                      </pic:pic>
                    </a:graphicData>
                  </a:graphic>
                </wp:inline>
              </w:drawing>
            </w:r>
            <w:r>
              <w:t>Present information and content in different ways</w:t>
            </w:r>
          </w:p>
        </w:tc>
        <w:tc>
          <w:tcPr>
            <w:tcW w:w="3192" w:type="dxa"/>
            <w:shd w:val="clear" w:color="auto" w:fill="FFFFFF" w:themeFill="background1"/>
          </w:tcPr>
          <w:p w:rsidR="00A83A50" w:rsidRDefault="00A83A50" w:rsidP="00202D06">
            <w:pPr>
              <w:pStyle w:val="Heading4"/>
              <w:spacing w:before="0" w:beforeAutospacing="0" w:after="0" w:afterAutospacing="0"/>
              <w:jc w:val="center"/>
            </w:pPr>
            <w:r>
              <w:rPr>
                <w:color w:val="0066A1"/>
              </w:rPr>
              <w:t>Strategic Networks</w:t>
            </w:r>
          </w:p>
          <w:p w:rsidR="00A83A50" w:rsidRDefault="00A83A50" w:rsidP="00202D06">
            <w:pPr>
              <w:pStyle w:val="NormalWeb"/>
              <w:spacing w:before="0" w:beforeAutospacing="0" w:after="0" w:afterAutospacing="0"/>
              <w:jc w:val="center"/>
            </w:pPr>
            <w:r>
              <w:t>The “how” of learning</w:t>
            </w:r>
          </w:p>
          <w:p w:rsidR="00A83A50" w:rsidRDefault="00A83A50" w:rsidP="00202D06">
            <w:pPr>
              <w:pStyle w:val="NormalWeb"/>
              <w:jc w:val="center"/>
            </w:pPr>
            <w:r>
              <w:rPr>
                <w:noProof/>
              </w:rPr>
              <w:drawing>
                <wp:inline distT="0" distB="0" distL="0" distR="0" wp14:anchorId="1C872A25" wp14:editId="08688F62">
                  <wp:extent cx="1496060" cy="1306195"/>
                  <wp:effectExtent l="0" t="0" r="8890" b="8255"/>
                  <wp:docPr id="10" name="Picture 10" descr="image of a brain with the front por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of a brain with the front portion highligh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306195"/>
                          </a:xfrm>
                          <a:prstGeom prst="rect">
                            <a:avLst/>
                          </a:prstGeom>
                          <a:noFill/>
                          <a:ln>
                            <a:noFill/>
                          </a:ln>
                        </pic:spPr>
                      </pic:pic>
                    </a:graphicData>
                  </a:graphic>
                </wp:inline>
              </w:drawing>
            </w:r>
          </w:p>
          <w:p w:rsidR="00A83A50" w:rsidRDefault="00A83A50" w:rsidP="00202D06">
            <w:pPr>
              <w:pStyle w:val="NormalWeb"/>
              <w:spacing w:before="0" w:beforeAutospacing="0" w:after="0" w:afterAutospacing="0"/>
            </w:pPr>
            <w:r>
              <w:t xml:space="preserve">Planning and performing tasks. How we organize and express our ideas. Writing an essay or solving a math problem </w:t>
            </w:r>
            <w:proofErr w:type="gramStart"/>
            <w:r>
              <w:t>are</w:t>
            </w:r>
            <w:proofErr w:type="gramEnd"/>
            <w:r>
              <w:t xml:space="preserve"> strategic tasks.</w:t>
            </w:r>
          </w:p>
          <w:p w:rsidR="00A83A50" w:rsidRPr="00A83A50" w:rsidRDefault="00A83A50" w:rsidP="00202D06">
            <w:pPr>
              <w:pStyle w:val="NormalWeb"/>
              <w:shd w:val="clear" w:color="auto" w:fill="D9E8F1"/>
              <w:spacing w:before="0" w:beforeAutospacing="0" w:after="0" w:afterAutospacing="0"/>
            </w:pPr>
            <w:r>
              <w:rPr>
                <w:noProof/>
              </w:rPr>
              <w:drawing>
                <wp:inline distT="0" distB="0" distL="0" distR="0" wp14:anchorId="2E515016" wp14:editId="007A194A">
                  <wp:extent cx="297180" cy="278765"/>
                  <wp:effectExtent l="0" t="0" r="7620" b="6985"/>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78765"/>
                          </a:xfrm>
                          <a:prstGeom prst="rect">
                            <a:avLst/>
                          </a:prstGeom>
                          <a:noFill/>
                          <a:ln>
                            <a:noFill/>
                          </a:ln>
                        </pic:spPr>
                      </pic:pic>
                    </a:graphicData>
                  </a:graphic>
                </wp:inline>
              </w:drawing>
            </w:r>
            <w:r>
              <w:t>Differentiate the ways that students can express what they know</w:t>
            </w:r>
          </w:p>
        </w:tc>
        <w:tc>
          <w:tcPr>
            <w:tcW w:w="3192" w:type="dxa"/>
          </w:tcPr>
          <w:p w:rsidR="00A83A50" w:rsidRDefault="00A83A50" w:rsidP="00202D06">
            <w:pPr>
              <w:pStyle w:val="Heading4"/>
              <w:spacing w:before="0" w:beforeAutospacing="0" w:after="0" w:afterAutospacing="0"/>
              <w:jc w:val="center"/>
            </w:pPr>
            <w:r>
              <w:rPr>
                <w:color w:val="3D8A41"/>
              </w:rPr>
              <w:t>Affective Networks</w:t>
            </w:r>
          </w:p>
          <w:p w:rsidR="00A83A50" w:rsidRDefault="00A83A50" w:rsidP="00202D06">
            <w:pPr>
              <w:pStyle w:val="NormalWeb"/>
              <w:spacing w:before="0" w:beforeAutospacing="0" w:after="0" w:afterAutospacing="0"/>
              <w:jc w:val="center"/>
            </w:pPr>
            <w:r>
              <w:t>The “why” of learning</w:t>
            </w:r>
          </w:p>
          <w:p w:rsidR="00A83A50" w:rsidRDefault="00A83A50" w:rsidP="00202D06">
            <w:pPr>
              <w:pStyle w:val="NormalWeb"/>
              <w:jc w:val="center"/>
            </w:pPr>
            <w:r>
              <w:rPr>
                <w:noProof/>
              </w:rPr>
              <w:drawing>
                <wp:inline distT="0" distB="0" distL="0" distR="0" wp14:anchorId="5EFB9721" wp14:editId="74E1AD91">
                  <wp:extent cx="1371600" cy="1288415"/>
                  <wp:effectExtent l="0" t="0" r="0" b="6985"/>
                  <wp:docPr id="12" name="Picture 12" descr="image of a cutout of the inside of the brain with the cor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of a cutout of the inside of the brain with the core highligh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288415"/>
                          </a:xfrm>
                          <a:prstGeom prst="rect">
                            <a:avLst/>
                          </a:prstGeom>
                          <a:noFill/>
                          <a:ln>
                            <a:noFill/>
                          </a:ln>
                        </pic:spPr>
                      </pic:pic>
                    </a:graphicData>
                  </a:graphic>
                </wp:inline>
              </w:drawing>
            </w:r>
          </w:p>
          <w:p w:rsidR="00A83A50" w:rsidRDefault="00A83A50" w:rsidP="00A83A50">
            <w:pPr>
              <w:pStyle w:val="NormalWeb"/>
              <w:spacing w:before="0" w:beforeAutospacing="0" w:after="0" w:afterAutospacing="0"/>
            </w:pPr>
            <w:r>
              <w:t>How learners get engaged and stay motivated. How they are challenged, excited, or interested. These are affective dimensions.</w:t>
            </w:r>
          </w:p>
          <w:p w:rsidR="00A83A50" w:rsidRDefault="00A83A50" w:rsidP="00A83A50">
            <w:pPr>
              <w:pStyle w:val="NormalWeb"/>
              <w:spacing w:before="0" w:beforeAutospacing="0" w:after="0" w:afterAutospacing="0"/>
            </w:pPr>
          </w:p>
          <w:p w:rsidR="00A83A50" w:rsidRPr="00A83A50" w:rsidRDefault="00A83A50" w:rsidP="00A83A50">
            <w:pPr>
              <w:pStyle w:val="NormalWeb"/>
              <w:shd w:val="clear" w:color="auto" w:fill="E2EEE0"/>
              <w:spacing w:before="0" w:beforeAutospacing="0" w:after="0" w:afterAutospacing="0"/>
            </w:pPr>
            <w:r>
              <w:rPr>
                <w:noProof/>
              </w:rPr>
              <w:drawing>
                <wp:inline distT="0" distB="0" distL="0" distR="0" wp14:anchorId="5EA35A32" wp14:editId="3BC8237B">
                  <wp:extent cx="285115" cy="278765"/>
                  <wp:effectExtent l="0" t="0" r="635" b="6985"/>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m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115" cy="278765"/>
                          </a:xfrm>
                          <a:prstGeom prst="rect">
                            <a:avLst/>
                          </a:prstGeom>
                          <a:noFill/>
                          <a:ln>
                            <a:noFill/>
                          </a:ln>
                        </pic:spPr>
                      </pic:pic>
                    </a:graphicData>
                  </a:graphic>
                </wp:inline>
              </w:drawing>
            </w:r>
            <w:r>
              <w:t>Stimulate interest and motivation for learning</w:t>
            </w:r>
          </w:p>
        </w:tc>
      </w:tr>
    </w:tbl>
    <w:p w:rsidR="00A83A50" w:rsidRPr="00A83A50" w:rsidRDefault="00A83A50" w:rsidP="00A83A50">
      <w:pPr>
        <w:spacing w:before="120" w:after="100" w:afterAutospacing="1"/>
        <w:rPr>
          <w:rFonts w:eastAsia="Times New Roman"/>
          <w:sz w:val="18"/>
          <w:szCs w:val="18"/>
        </w:rPr>
      </w:pPr>
      <w:r w:rsidRPr="00A83A50">
        <w:rPr>
          <w:rFonts w:eastAsia="Times New Roman"/>
          <w:b/>
          <w:bCs/>
          <w:sz w:val="18"/>
          <w:szCs w:val="18"/>
        </w:rPr>
        <w:t>Source:</w:t>
      </w:r>
      <w:r w:rsidR="00202D06">
        <w:rPr>
          <w:rFonts w:eastAsia="Times New Roman"/>
          <w:sz w:val="18"/>
          <w:szCs w:val="18"/>
        </w:rPr>
        <w:t xml:space="preserve"> CAST—</w:t>
      </w:r>
      <w:proofErr w:type="gramStart"/>
      <w:r w:rsidRPr="00A83A50">
        <w:rPr>
          <w:rFonts w:eastAsia="Times New Roman"/>
          <w:sz w:val="18"/>
          <w:szCs w:val="18"/>
        </w:rPr>
        <w:t>What</w:t>
      </w:r>
      <w:proofErr w:type="gramEnd"/>
      <w:r w:rsidRPr="00A83A50">
        <w:rPr>
          <w:rFonts w:eastAsia="Times New Roman"/>
          <w:sz w:val="18"/>
          <w:szCs w:val="18"/>
        </w:rPr>
        <w:t xml:space="preserve"> is UDL? (</w:t>
      </w:r>
      <w:hyperlink r:id="rId14" w:tgtFrame="_blank" w:history="1">
        <w:r w:rsidRPr="00A83A50">
          <w:rPr>
            <w:rFonts w:eastAsia="Times New Roman"/>
            <w:color w:val="0000FF"/>
            <w:sz w:val="18"/>
            <w:szCs w:val="18"/>
            <w:u w:val="single"/>
          </w:rPr>
          <w:t>http://www.cast.org/research/udl</w:t>
        </w:r>
      </w:hyperlink>
      <w:r w:rsidRPr="00A83A50">
        <w:rPr>
          <w:rFonts w:eastAsia="Times New Roman"/>
          <w:sz w:val="18"/>
          <w:szCs w:val="18"/>
        </w:rPr>
        <w:t>)</w:t>
      </w:r>
    </w:p>
    <w:p w:rsidR="00980FC2" w:rsidRDefault="00980FC2">
      <w:r>
        <w:br w:type="page"/>
      </w:r>
    </w:p>
    <w:p w:rsidR="00ED1FF7" w:rsidRDefault="00980FC2" w:rsidP="00ED1FF7">
      <w:pPr>
        <w:rPr>
          <w:rFonts w:eastAsia="Times New Roman"/>
          <w:sz w:val="18"/>
          <w:szCs w:val="18"/>
        </w:rPr>
      </w:pPr>
      <w:proofErr w:type="gramStart"/>
      <w:r w:rsidRPr="00ED1FF7">
        <w:rPr>
          <w:b/>
        </w:rPr>
        <w:lastRenderedPageBreak/>
        <w:t>Principles of Universal Design fo</w:t>
      </w:r>
      <w:bookmarkStart w:id="0" w:name="_GoBack"/>
      <w:bookmarkEnd w:id="0"/>
      <w:r w:rsidRPr="00ED1FF7">
        <w:rPr>
          <w:b/>
        </w:rPr>
        <w:t>r Learning</w:t>
      </w:r>
      <w:r w:rsidR="00ED1FF7" w:rsidRPr="00ED1FF7">
        <w:rPr>
          <w:b/>
        </w:rPr>
        <w:t>.</w:t>
      </w:r>
      <w:proofErr w:type="gramEnd"/>
      <w:r w:rsidR="00ED1FF7">
        <w:t xml:space="preserve"> </w:t>
      </w:r>
      <w:r w:rsidR="00ED1FF7" w:rsidRPr="00ED1FF7">
        <w:t>(</w:t>
      </w:r>
      <w:r w:rsidR="00ED1FF7" w:rsidRPr="00ED1FF7">
        <w:rPr>
          <w:rFonts w:eastAsia="Times New Roman"/>
          <w:bCs/>
          <w:sz w:val="18"/>
          <w:szCs w:val="18"/>
        </w:rPr>
        <w:t>Source:</w:t>
      </w:r>
      <w:r w:rsidR="00ED1FF7">
        <w:rPr>
          <w:rFonts w:eastAsia="Times New Roman"/>
          <w:sz w:val="18"/>
          <w:szCs w:val="18"/>
        </w:rPr>
        <w:t xml:space="preserve"> National Center on Universal Design for Learning)</w:t>
      </w:r>
    </w:p>
    <w:p w:rsidR="00980FC2" w:rsidRPr="00980FC2" w:rsidRDefault="00980FC2" w:rsidP="00ED1FF7">
      <w:r w:rsidRPr="00980FC2">
        <w:t>Principle I. Provide Multiple Means of Representation</w:t>
      </w:r>
    </w:p>
    <w:p w:rsidR="00980FC2" w:rsidRPr="00980FC2" w:rsidRDefault="00980FC2" w:rsidP="00ED1FF7">
      <w:pPr>
        <w:ind w:firstLine="360"/>
      </w:pPr>
      <w:r w:rsidRPr="00980FC2">
        <w:rPr>
          <w:rStyle w:val="Strong"/>
          <w:b w:val="0"/>
        </w:rPr>
        <w:t>Guideline 1: Provide options for perception</w:t>
      </w:r>
      <w:r w:rsidRPr="00980FC2">
        <w:t xml:space="preserve"> </w:t>
      </w:r>
    </w:p>
    <w:p w:rsidR="00980FC2" w:rsidRPr="00980FC2" w:rsidRDefault="00980FC2" w:rsidP="00ED1FF7">
      <w:pPr>
        <w:numPr>
          <w:ilvl w:val="0"/>
          <w:numId w:val="1"/>
        </w:numPr>
      </w:pPr>
      <w:r w:rsidRPr="00980FC2">
        <w:t>Offer ways of customizing the display of information</w:t>
      </w:r>
    </w:p>
    <w:p w:rsidR="00980FC2" w:rsidRPr="00980FC2" w:rsidRDefault="00980FC2" w:rsidP="00980FC2">
      <w:pPr>
        <w:numPr>
          <w:ilvl w:val="0"/>
          <w:numId w:val="1"/>
        </w:numPr>
      </w:pPr>
      <w:r w:rsidRPr="00980FC2">
        <w:t>Offer alternatives for auditory information</w:t>
      </w:r>
    </w:p>
    <w:p w:rsidR="00980FC2" w:rsidRPr="00980FC2" w:rsidRDefault="00980FC2" w:rsidP="00980FC2">
      <w:pPr>
        <w:numPr>
          <w:ilvl w:val="0"/>
          <w:numId w:val="1"/>
        </w:numPr>
      </w:pPr>
      <w:r w:rsidRPr="00980FC2">
        <w:t>Offer alternatives for visual information</w:t>
      </w:r>
    </w:p>
    <w:p w:rsidR="00980FC2" w:rsidRPr="00980FC2" w:rsidRDefault="00980FC2" w:rsidP="00385ACD">
      <w:pPr>
        <w:ind w:firstLine="360"/>
      </w:pPr>
      <w:r w:rsidRPr="00980FC2">
        <w:rPr>
          <w:rStyle w:val="Strong"/>
          <w:b w:val="0"/>
        </w:rPr>
        <w:t>Guideline 2: Provide options for language, mathematical expressions, and symbols</w:t>
      </w:r>
      <w:r w:rsidRPr="00980FC2">
        <w:t xml:space="preserve"> </w:t>
      </w:r>
    </w:p>
    <w:p w:rsidR="00980FC2" w:rsidRPr="00980FC2" w:rsidRDefault="00980FC2" w:rsidP="00980FC2">
      <w:pPr>
        <w:numPr>
          <w:ilvl w:val="0"/>
          <w:numId w:val="2"/>
        </w:numPr>
      </w:pPr>
      <w:r w:rsidRPr="00980FC2">
        <w:t>Clarify vocabulary and symbols</w:t>
      </w:r>
    </w:p>
    <w:p w:rsidR="00980FC2" w:rsidRPr="00980FC2" w:rsidRDefault="00980FC2" w:rsidP="00980FC2">
      <w:pPr>
        <w:numPr>
          <w:ilvl w:val="0"/>
          <w:numId w:val="2"/>
        </w:numPr>
      </w:pPr>
      <w:r w:rsidRPr="00980FC2">
        <w:t xml:space="preserve">Clarify syntax and structure </w:t>
      </w:r>
    </w:p>
    <w:p w:rsidR="00980FC2" w:rsidRPr="00980FC2" w:rsidRDefault="00980FC2" w:rsidP="00980FC2">
      <w:pPr>
        <w:numPr>
          <w:ilvl w:val="0"/>
          <w:numId w:val="2"/>
        </w:numPr>
      </w:pPr>
      <w:r w:rsidRPr="00980FC2">
        <w:t xml:space="preserve">Support decoding of text, mathematical notation, and symbols </w:t>
      </w:r>
    </w:p>
    <w:p w:rsidR="00980FC2" w:rsidRPr="00980FC2" w:rsidRDefault="00980FC2" w:rsidP="00980FC2">
      <w:pPr>
        <w:numPr>
          <w:ilvl w:val="0"/>
          <w:numId w:val="2"/>
        </w:numPr>
      </w:pPr>
      <w:r w:rsidRPr="00980FC2">
        <w:t xml:space="preserve">Promote understanding across languages </w:t>
      </w:r>
    </w:p>
    <w:p w:rsidR="00980FC2" w:rsidRPr="00980FC2" w:rsidRDefault="00980FC2" w:rsidP="00980FC2">
      <w:pPr>
        <w:numPr>
          <w:ilvl w:val="0"/>
          <w:numId w:val="2"/>
        </w:numPr>
      </w:pPr>
      <w:r w:rsidRPr="00980FC2">
        <w:t>Illustrate through multiple media</w:t>
      </w:r>
    </w:p>
    <w:p w:rsidR="00980FC2" w:rsidRPr="00980FC2" w:rsidRDefault="00980FC2" w:rsidP="00385ACD">
      <w:pPr>
        <w:ind w:firstLine="360"/>
      </w:pPr>
      <w:r w:rsidRPr="00980FC2">
        <w:rPr>
          <w:rStyle w:val="Strong"/>
          <w:b w:val="0"/>
        </w:rPr>
        <w:t>Guideline 3: Provide options for comprehension</w:t>
      </w:r>
      <w:r w:rsidRPr="00980FC2">
        <w:t xml:space="preserve"> </w:t>
      </w:r>
    </w:p>
    <w:p w:rsidR="00980FC2" w:rsidRPr="00980FC2" w:rsidRDefault="00980FC2" w:rsidP="00385ACD">
      <w:pPr>
        <w:numPr>
          <w:ilvl w:val="0"/>
          <w:numId w:val="3"/>
        </w:numPr>
        <w:tabs>
          <w:tab w:val="clear" w:pos="720"/>
          <w:tab w:val="num" w:pos="1080"/>
        </w:tabs>
        <w:ind w:left="1080"/>
      </w:pPr>
      <w:r w:rsidRPr="00980FC2">
        <w:t xml:space="preserve">Activate or supply background knowledge </w:t>
      </w:r>
    </w:p>
    <w:p w:rsidR="00980FC2" w:rsidRPr="00980FC2" w:rsidRDefault="00980FC2" w:rsidP="00385ACD">
      <w:pPr>
        <w:numPr>
          <w:ilvl w:val="0"/>
          <w:numId w:val="3"/>
        </w:numPr>
        <w:ind w:left="1080"/>
      </w:pPr>
      <w:r w:rsidRPr="00980FC2">
        <w:t xml:space="preserve">Highlight patterns, critical features, big ideas, and relationships </w:t>
      </w:r>
    </w:p>
    <w:p w:rsidR="00980FC2" w:rsidRPr="00980FC2" w:rsidRDefault="00980FC2" w:rsidP="00385ACD">
      <w:pPr>
        <w:numPr>
          <w:ilvl w:val="0"/>
          <w:numId w:val="3"/>
        </w:numPr>
        <w:ind w:left="1080"/>
      </w:pPr>
      <w:r w:rsidRPr="00980FC2">
        <w:t>Guide information processing, visualization, and manipulation</w:t>
      </w:r>
    </w:p>
    <w:p w:rsidR="00980FC2" w:rsidRPr="00980FC2" w:rsidRDefault="00980FC2" w:rsidP="00385ACD">
      <w:pPr>
        <w:numPr>
          <w:ilvl w:val="0"/>
          <w:numId w:val="3"/>
        </w:numPr>
        <w:ind w:left="1080"/>
      </w:pPr>
      <w:r w:rsidRPr="00980FC2">
        <w:t>Maximize transfer and generalization</w:t>
      </w:r>
    </w:p>
    <w:p w:rsidR="00980FC2" w:rsidRPr="00980FC2" w:rsidRDefault="00980FC2" w:rsidP="00385ACD">
      <w:pPr>
        <w:pStyle w:val="NormalWeb"/>
        <w:spacing w:before="0" w:beforeAutospacing="0" w:after="0" w:afterAutospacing="0"/>
      </w:pPr>
    </w:p>
    <w:p w:rsidR="00980FC2" w:rsidRPr="00980FC2" w:rsidRDefault="00980FC2" w:rsidP="00980FC2">
      <w:pPr>
        <w:pStyle w:val="Heading3"/>
        <w:spacing w:before="0" w:beforeAutospacing="0" w:after="0" w:afterAutospacing="0"/>
        <w:rPr>
          <w:b w:val="0"/>
          <w:sz w:val="24"/>
          <w:szCs w:val="24"/>
        </w:rPr>
      </w:pPr>
      <w:proofErr w:type="gramStart"/>
      <w:r w:rsidRPr="00980FC2">
        <w:rPr>
          <w:b w:val="0"/>
          <w:sz w:val="24"/>
          <w:szCs w:val="24"/>
        </w:rPr>
        <w:t>Principle II.</w:t>
      </w:r>
      <w:proofErr w:type="gramEnd"/>
      <w:r w:rsidRPr="00980FC2">
        <w:rPr>
          <w:b w:val="0"/>
          <w:sz w:val="24"/>
          <w:szCs w:val="24"/>
        </w:rPr>
        <w:t xml:space="preserve"> Provide Multiple Means of Action and Expression</w:t>
      </w:r>
    </w:p>
    <w:p w:rsidR="00980FC2" w:rsidRPr="00980FC2" w:rsidRDefault="00980FC2" w:rsidP="00385ACD">
      <w:pPr>
        <w:ind w:firstLine="360"/>
      </w:pPr>
      <w:r w:rsidRPr="00980FC2">
        <w:rPr>
          <w:rStyle w:val="Strong"/>
          <w:b w:val="0"/>
        </w:rPr>
        <w:t>Guideline 4: Provide options for physical action</w:t>
      </w:r>
      <w:r w:rsidRPr="00980FC2">
        <w:t xml:space="preserve"> </w:t>
      </w:r>
    </w:p>
    <w:p w:rsidR="00980FC2" w:rsidRPr="00980FC2" w:rsidRDefault="00980FC2" w:rsidP="00980FC2">
      <w:pPr>
        <w:numPr>
          <w:ilvl w:val="0"/>
          <w:numId w:val="4"/>
        </w:numPr>
      </w:pPr>
      <w:r w:rsidRPr="00385ACD">
        <w:t>Vary the methods for response and navigation</w:t>
      </w:r>
    </w:p>
    <w:p w:rsidR="00980FC2" w:rsidRPr="00980FC2" w:rsidRDefault="00980FC2" w:rsidP="00980FC2">
      <w:pPr>
        <w:numPr>
          <w:ilvl w:val="0"/>
          <w:numId w:val="4"/>
        </w:numPr>
      </w:pPr>
      <w:r w:rsidRPr="00385ACD">
        <w:t>Optimize access to tools and assistive technologies</w:t>
      </w:r>
    </w:p>
    <w:p w:rsidR="00980FC2" w:rsidRPr="00980FC2" w:rsidRDefault="00980FC2" w:rsidP="00385ACD">
      <w:pPr>
        <w:ind w:firstLine="360"/>
      </w:pPr>
      <w:r w:rsidRPr="00980FC2">
        <w:rPr>
          <w:rStyle w:val="Strong"/>
          <w:b w:val="0"/>
        </w:rPr>
        <w:t>Guideline 5: Provide options for expression and communication</w:t>
      </w:r>
      <w:r w:rsidRPr="00980FC2">
        <w:t xml:space="preserve"> </w:t>
      </w:r>
    </w:p>
    <w:p w:rsidR="00980FC2" w:rsidRPr="00980FC2" w:rsidRDefault="00980FC2" w:rsidP="00980FC2">
      <w:pPr>
        <w:numPr>
          <w:ilvl w:val="0"/>
          <w:numId w:val="5"/>
        </w:numPr>
      </w:pPr>
      <w:r w:rsidRPr="00385ACD">
        <w:t>Use multiple media for communication</w:t>
      </w:r>
      <w:r w:rsidRPr="00980FC2">
        <w:t xml:space="preserve"> </w:t>
      </w:r>
    </w:p>
    <w:p w:rsidR="00980FC2" w:rsidRPr="00980FC2" w:rsidRDefault="00980FC2" w:rsidP="00980FC2">
      <w:pPr>
        <w:numPr>
          <w:ilvl w:val="0"/>
          <w:numId w:val="5"/>
        </w:numPr>
      </w:pPr>
      <w:r w:rsidRPr="00385ACD">
        <w:t>Use multiple tools for construction and composition</w:t>
      </w:r>
      <w:r w:rsidRPr="00980FC2">
        <w:t xml:space="preserve"> </w:t>
      </w:r>
    </w:p>
    <w:p w:rsidR="00980FC2" w:rsidRPr="00980FC2" w:rsidRDefault="00980FC2" w:rsidP="00980FC2">
      <w:pPr>
        <w:numPr>
          <w:ilvl w:val="0"/>
          <w:numId w:val="5"/>
        </w:numPr>
      </w:pPr>
      <w:r w:rsidRPr="00385ACD">
        <w:t>Build fluencies with graduated levels of support for practice and performance</w:t>
      </w:r>
    </w:p>
    <w:p w:rsidR="00980FC2" w:rsidRPr="00980FC2" w:rsidRDefault="00980FC2" w:rsidP="00ED1FF7">
      <w:pPr>
        <w:ind w:firstLine="360"/>
      </w:pPr>
      <w:r w:rsidRPr="00980FC2">
        <w:rPr>
          <w:rStyle w:val="Strong"/>
          <w:b w:val="0"/>
        </w:rPr>
        <w:t>Guideline 6: Provide options for executive functions</w:t>
      </w:r>
      <w:r w:rsidRPr="00980FC2">
        <w:t xml:space="preserve"> </w:t>
      </w:r>
    </w:p>
    <w:p w:rsidR="00980FC2" w:rsidRPr="00980FC2" w:rsidRDefault="00980FC2" w:rsidP="00980FC2">
      <w:pPr>
        <w:numPr>
          <w:ilvl w:val="0"/>
          <w:numId w:val="6"/>
        </w:numPr>
      </w:pPr>
      <w:r w:rsidRPr="00ED1FF7">
        <w:t>Guide appropriate goal-setting</w:t>
      </w:r>
    </w:p>
    <w:p w:rsidR="00980FC2" w:rsidRPr="00980FC2" w:rsidRDefault="00980FC2" w:rsidP="00980FC2">
      <w:pPr>
        <w:numPr>
          <w:ilvl w:val="0"/>
          <w:numId w:val="6"/>
        </w:numPr>
      </w:pPr>
      <w:r w:rsidRPr="00ED1FF7">
        <w:t>Support planning and strategy development</w:t>
      </w:r>
    </w:p>
    <w:p w:rsidR="00980FC2" w:rsidRPr="00980FC2" w:rsidRDefault="00980FC2" w:rsidP="00980FC2">
      <w:pPr>
        <w:numPr>
          <w:ilvl w:val="0"/>
          <w:numId w:val="6"/>
        </w:numPr>
      </w:pPr>
      <w:r w:rsidRPr="00ED1FF7">
        <w:t>Facilitate managing information and resources</w:t>
      </w:r>
    </w:p>
    <w:p w:rsidR="00980FC2" w:rsidRPr="00980FC2" w:rsidRDefault="00980FC2" w:rsidP="00980FC2">
      <w:pPr>
        <w:numPr>
          <w:ilvl w:val="0"/>
          <w:numId w:val="6"/>
        </w:numPr>
      </w:pPr>
      <w:r w:rsidRPr="00ED1FF7">
        <w:t>Enhance capacity for monitoring progress</w:t>
      </w:r>
    </w:p>
    <w:p w:rsidR="00980FC2" w:rsidRPr="00980FC2" w:rsidRDefault="00980FC2" w:rsidP="00980FC2">
      <w:pPr>
        <w:pStyle w:val="NormalWeb"/>
        <w:spacing w:before="0" w:beforeAutospacing="0" w:after="0" w:afterAutospacing="0"/>
      </w:pPr>
      <w:r w:rsidRPr="00980FC2">
        <w:t> </w:t>
      </w:r>
    </w:p>
    <w:p w:rsidR="00980FC2" w:rsidRPr="00980FC2" w:rsidRDefault="00980FC2" w:rsidP="00980FC2">
      <w:pPr>
        <w:pStyle w:val="Heading3"/>
        <w:spacing w:before="0" w:beforeAutospacing="0" w:after="0" w:afterAutospacing="0"/>
        <w:rPr>
          <w:b w:val="0"/>
          <w:sz w:val="24"/>
          <w:szCs w:val="24"/>
        </w:rPr>
      </w:pPr>
      <w:proofErr w:type="gramStart"/>
      <w:r w:rsidRPr="00980FC2">
        <w:rPr>
          <w:b w:val="0"/>
          <w:sz w:val="24"/>
          <w:szCs w:val="24"/>
        </w:rPr>
        <w:t>Principle III.</w:t>
      </w:r>
      <w:proofErr w:type="gramEnd"/>
      <w:r w:rsidRPr="00980FC2">
        <w:rPr>
          <w:b w:val="0"/>
          <w:sz w:val="24"/>
          <w:szCs w:val="24"/>
        </w:rPr>
        <w:t xml:space="preserve"> Provide Multiple Means of Engagement</w:t>
      </w:r>
    </w:p>
    <w:p w:rsidR="00980FC2" w:rsidRPr="00980FC2" w:rsidRDefault="00980FC2" w:rsidP="00ED1FF7">
      <w:pPr>
        <w:ind w:firstLine="360"/>
      </w:pPr>
      <w:r w:rsidRPr="00980FC2">
        <w:rPr>
          <w:rStyle w:val="Strong"/>
          <w:b w:val="0"/>
        </w:rPr>
        <w:t>Guideline 7: Provide options for recruiting interest</w:t>
      </w:r>
      <w:r w:rsidRPr="00980FC2">
        <w:t xml:space="preserve"> </w:t>
      </w:r>
    </w:p>
    <w:p w:rsidR="00980FC2" w:rsidRPr="00980FC2" w:rsidRDefault="00980FC2" w:rsidP="00980FC2">
      <w:pPr>
        <w:numPr>
          <w:ilvl w:val="0"/>
          <w:numId w:val="7"/>
        </w:numPr>
      </w:pPr>
      <w:r w:rsidRPr="00ED1FF7">
        <w:t>Optimize individual choice and autonomy</w:t>
      </w:r>
    </w:p>
    <w:p w:rsidR="00980FC2" w:rsidRPr="00980FC2" w:rsidRDefault="00980FC2" w:rsidP="00980FC2">
      <w:pPr>
        <w:numPr>
          <w:ilvl w:val="0"/>
          <w:numId w:val="7"/>
        </w:numPr>
      </w:pPr>
      <w:r w:rsidRPr="00ED1FF7">
        <w:t>Optimize relevance, value, and authenticity</w:t>
      </w:r>
    </w:p>
    <w:p w:rsidR="00980FC2" w:rsidRPr="00980FC2" w:rsidRDefault="00980FC2" w:rsidP="00980FC2">
      <w:pPr>
        <w:numPr>
          <w:ilvl w:val="0"/>
          <w:numId w:val="7"/>
        </w:numPr>
      </w:pPr>
      <w:r w:rsidRPr="00ED1FF7">
        <w:t>Minimize threats and distractions</w:t>
      </w:r>
    </w:p>
    <w:p w:rsidR="00980FC2" w:rsidRPr="00980FC2" w:rsidRDefault="00980FC2" w:rsidP="00ED1FF7">
      <w:pPr>
        <w:ind w:firstLine="360"/>
      </w:pPr>
      <w:r w:rsidRPr="00980FC2">
        <w:rPr>
          <w:rStyle w:val="Strong"/>
          <w:b w:val="0"/>
        </w:rPr>
        <w:t>Guideline 8: Provide options for sustaining effort and persistence</w:t>
      </w:r>
      <w:r w:rsidRPr="00980FC2">
        <w:t xml:space="preserve"> </w:t>
      </w:r>
    </w:p>
    <w:p w:rsidR="00980FC2" w:rsidRPr="00980FC2" w:rsidRDefault="00980FC2" w:rsidP="00980FC2">
      <w:pPr>
        <w:numPr>
          <w:ilvl w:val="0"/>
          <w:numId w:val="8"/>
        </w:numPr>
      </w:pPr>
      <w:r w:rsidRPr="00ED1FF7">
        <w:t>Heighten salience of goals and objectives</w:t>
      </w:r>
    </w:p>
    <w:p w:rsidR="00980FC2" w:rsidRPr="00980FC2" w:rsidRDefault="00980FC2" w:rsidP="00980FC2">
      <w:pPr>
        <w:numPr>
          <w:ilvl w:val="0"/>
          <w:numId w:val="8"/>
        </w:numPr>
      </w:pPr>
      <w:r w:rsidRPr="00ED1FF7">
        <w:t>Vary demands and resources to optimize challenge</w:t>
      </w:r>
    </w:p>
    <w:p w:rsidR="00980FC2" w:rsidRPr="00980FC2" w:rsidRDefault="00980FC2" w:rsidP="00980FC2">
      <w:pPr>
        <w:numPr>
          <w:ilvl w:val="0"/>
          <w:numId w:val="8"/>
        </w:numPr>
      </w:pPr>
      <w:r w:rsidRPr="00ED1FF7">
        <w:t>Foster collaboration and community</w:t>
      </w:r>
    </w:p>
    <w:p w:rsidR="00980FC2" w:rsidRPr="00980FC2" w:rsidRDefault="00980FC2" w:rsidP="00980FC2">
      <w:pPr>
        <w:numPr>
          <w:ilvl w:val="0"/>
          <w:numId w:val="8"/>
        </w:numPr>
      </w:pPr>
      <w:r w:rsidRPr="00ED1FF7">
        <w:t>Increase mastery-oriented feedback</w:t>
      </w:r>
    </w:p>
    <w:p w:rsidR="00980FC2" w:rsidRPr="00980FC2" w:rsidRDefault="00980FC2" w:rsidP="00ED1FF7">
      <w:pPr>
        <w:ind w:firstLine="360"/>
      </w:pPr>
      <w:r w:rsidRPr="00980FC2">
        <w:rPr>
          <w:rStyle w:val="Strong"/>
          <w:b w:val="0"/>
        </w:rPr>
        <w:t>Guideline 9: Provide options for self-regulation</w:t>
      </w:r>
      <w:r w:rsidRPr="00980FC2">
        <w:t xml:space="preserve"> </w:t>
      </w:r>
    </w:p>
    <w:p w:rsidR="00980FC2" w:rsidRPr="00980FC2" w:rsidRDefault="00980FC2" w:rsidP="00980FC2">
      <w:pPr>
        <w:numPr>
          <w:ilvl w:val="0"/>
          <w:numId w:val="9"/>
        </w:numPr>
      </w:pPr>
      <w:r w:rsidRPr="00ED1FF7">
        <w:t>Promote expectations and beliefs that optimize motivation</w:t>
      </w:r>
    </w:p>
    <w:p w:rsidR="00980FC2" w:rsidRPr="00980FC2" w:rsidRDefault="00980FC2" w:rsidP="00980FC2">
      <w:pPr>
        <w:numPr>
          <w:ilvl w:val="0"/>
          <w:numId w:val="9"/>
        </w:numPr>
      </w:pPr>
      <w:r w:rsidRPr="00ED1FF7">
        <w:t>Facilitate personal coping skills and strategies</w:t>
      </w:r>
    </w:p>
    <w:p w:rsidR="00ED1FF7" w:rsidRDefault="00980FC2" w:rsidP="00ED1FF7">
      <w:pPr>
        <w:numPr>
          <w:ilvl w:val="0"/>
          <w:numId w:val="9"/>
        </w:numPr>
      </w:pPr>
      <w:r w:rsidRPr="00ED1FF7">
        <w:t>Develop self-assessment and reflection</w:t>
      </w:r>
    </w:p>
    <w:sectPr w:rsidR="00ED1FF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5D" w:rsidRDefault="000F665D" w:rsidP="00A65DCC">
      <w:r>
        <w:separator/>
      </w:r>
    </w:p>
  </w:endnote>
  <w:endnote w:type="continuationSeparator" w:id="0">
    <w:p w:rsidR="000F665D" w:rsidRDefault="000F665D" w:rsidP="00A6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CC" w:rsidRPr="00A65DCC" w:rsidRDefault="00A65DCC" w:rsidP="00A65DCC">
    <w:pPr>
      <w:jc w:val="center"/>
      <w:rPr>
        <w:sz w:val="20"/>
      </w:rPr>
    </w:pPr>
    <w:r w:rsidRPr="00A65DCC">
      <w:rPr>
        <w:sz w:val="20"/>
      </w:rPr>
      <w:t>Tracy Ann Morse</w:t>
    </w:r>
    <w:r w:rsidR="00BB077A">
      <w:rPr>
        <w:sz w:val="20"/>
      </w:rPr>
      <w:t>, Ph.D.</w:t>
    </w:r>
    <w:r>
      <w:rPr>
        <w:sz w:val="20"/>
      </w:rPr>
      <w:t xml:space="preserve">                                              | </w:t>
    </w:r>
    <w:hyperlink r:id="rId1" w:history="1">
      <w:r w:rsidRPr="00DB17AA">
        <w:rPr>
          <w:rStyle w:val="Hyperlink"/>
          <w:sz w:val="20"/>
        </w:rPr>
        <w:t>morset@ecu.edu</w:t>
      </w:r>
    </w:hyperlink>
    <w:r>
      <w:rPr>
        <w:sz w:val="20"/>
      </w:rPr>
      <w:t xml:space="preserve"> |                                              v/737.2040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5D" w:rsidRDefault="000F665D" w:rsidP="00A65DCC">
      <w:r>
        <w:separator/>
      </w:r>
    </w:p>
  </w:footnote>
  <w:footnote w:type="continuationSeparator" w:id="0">
    <w:p w:rsidR="000F665D" w:rsidRDefault="000F665D" w:rsidP="00A65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DC8"/>
    <w:multiLevelType w:val="multilevel"/>
    <w:tmpl w:val="6C6E46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8480144"/>
    <w:multiLevelType w:val="multilevel"/>
    <w:tmpl w:val="6DF48E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9EA2F41"/>
    <w:multiLevelType w:val="multilevel"/>
    <w:tmpl w:val="FFEC83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4E163B5"/>
    <w:multiLevelType w:val="multilevel"/>
    <w:tmpl w:val="CF3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A25BA"/>
    <w:multiLevelType w:val="multilevel"/>
    <w:tmpl w:val="001A35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FD935A9"/>
    <w:multiLevelType w:val="multilevel"/>
    <w:tmpl w:val="8C7C10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6821745B"/>
    <w:multiLevelType w:val="multilevel"/>
    <w:tmpl w:val="42F4F7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6AA74783"/>
    <w:multiLevelType w:val="multilevel"/>
    <w:tmpl w:val="44946D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73E617A2"/>
    <w:multiLevelType w:val="multilevel"/>
    <w:tmpl w:val="B8A63A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8"/>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50"/>
    <w:rsid w:val="000F665D"/>
    <w:rsid w:val="00202D06"/>
    <w:rsid w:val="00315AA7"/>
    <w:rsid w:val="003524EE"/>
    <w:rsid w:val="00385ACD"/>
    <w:rsid w:val="003C340F"/>
    <w:rsid w:val="00436042"/>
    <w:rsid w:val="00785FC5"/>
    <w:rsid w:val="008B4BDF"/>
    <w:rsid w:val="00980FC2"/>
    <w:rsid w:val="00A65DCC"/>
    <w:rsid w:val="00A83A50"/>
    <w:rsid w:val="00BB077A"/>
    <w:rsid w:val="00E84189"/>
    <w:rsid w:val="00ED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3A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A83A50"/>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A83A50"/>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A50"/>
    <w:rPr>
      <w:rFonts w:eastAsia="Times New Roman"/>
      <w:b/>
      <w:bCs/>
      <w:sz w:val="36"/>
      <w:szCs w:val="36"/>
    </w:rPr>
  </w:style>
  <w:style w:type="character" w:customStyle="1" w:styleId="Heading3Char">
    <w:name w:val="Heading 3 Char"/>
    <w:basedOn w:val="DefaultParagraphFont"/>
    <w:link w:val="Heading3"/>
    <w:uiPriority w:val="9"/>
    <w:rsid w:val="00A83A50"/>
    <w:rPr>
      <w:rFonts w:eastAsia="Times New Roman"/>
      <w:b/>
      <w:bCs/>
      <w:sz w:val="27"/>
      <w:szCs w:val="27"/>
    </w:rPr>
  </w:style>
  <w:style w:type="character" w:customStyle="1" w:styleId="Heading4Char">
    <w:name w:val="Heading 4 Char"/>
    <w:basedOn w:val="DefaultParagraphFont"/>
    <w:link w:val="Heading4"/>
    <w:uiPriority w:val="9"/>
    <w:rsid w:val="00A83A50"/>
    <w:rPr>
      <w:rFonts w:eastAsia="Times New Roman"/>
      <w:b/>
      <w:bCs/>
    </w:rPr>
  </w:style>
  <w:style w:type="paragraph" w:styleId="NormalWeb">
    <w:name w:val="Normal (Web)"/>
    <w:basedOn w:val="Normal"/>
    <w:uiPriority w:val="99"/>
    <w:unhideWhenUsed/>
    <w:rsid w:val="00A83A50"/>
    <w:pPr>
      <w:spacing w:before="100" w:beforeAutospacing="1" w:after="100" w:afterAutospacing="1"/>
    </w:pPr>
    <w:rPr>
      <w:rFonts w:eastAsia="Times New Roman"/>
    </w:rPr>
  </w:style>
  <w:style w:type="character" w:styleId="Strong">
    <w:name w:val="Strong"/>
    <w:basedOn w:val="DefaultParagraphFont"/>
    <w:uiPriority w:val="22"/>
    <w:qFormat/>
    <w:rsid w:val="00A83A50"/>
    <w:rPr>
      <w:b/>
      <w:bCs/>
    </w:rPr>
  </w:style>
  <w:style w:type="character" w:styleId="Hyperlink">
    <w:name w:val="Hyperlink"/>
    <w:basedOn w:val="DefaultParagraphFont"/>
    <w:uiPriority w:val="99"/>
    <w:unhideWhenUsed/>
    <w:rsid w:val="00A83A50"/>
    <w:rPr>
      <w:color w:val="0000FF"/>
      <w:u w:val="single"/>
    </w:rPr>
  </w:style>
  <w:style w:type="paragraph" w:styleId="BalloonText">
    <w:name w:val="Balloon Text"/>
    <w:basedOn w:val="Normal"/>
    <w:link w:val="BalloonTextChar"/>
    <w:uiPriority w:val="99"/>
    <w:semiHidden/>
    <w:unhideWhenUsed/>
    <w:rsid w:val="00A83A50"/>
    <w:rPr>
      <w:rFonts w:ascii="Tahoma" w:hAnsi="Tahoma" w:cs="Tahoma"/>
      <w:sz w:val="16"/>
      <w:szCs w:val="16"/>
    </w:rPr>
  </w:style>
  <w:style w:type="character" w:customStyle="1" w:styleId="BalloonTextChar">
    <w:name w:val="Balloon Text Char"/>
    <w:basedOn w:val="DefaultParagraphFont"/>
    <w:link w:val="BalloonText"/>
    <w:uiPriority w:val="99"/>
    <w:semiHidden/>
    <w:rsid w:val="00A83A50"/>
    <w:rPr>
      <w:rFonts w:ascii="Tahoma" w:hAnsi="Tahoma" w:cs="Tahoma"/>
      <w:sz w:val="16"/>
      <w:szCs w:val="16"/>
    </w:rPr>
  </w:style>
  <w:style w:type="table" w:styleId="TableGrid">
    <w:name w:val="Table Grid"/>
    <w:basedOn w:val="TableNormal"/>
    <w:uiPriority w:val="59"/>
    <w:rsid w:val="00A83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CC"/>
    <w:pPr>
      <w:tabs>
        <w:tab w:val="center" w:pos="4680"/>
        <w:tab w:val="right" w:pos="9360"/>
      </w:tabs>
    </w:pPr>
  </w:style>
  <w:style w:type="character" w:customStyle="1" w:styleId="HeaderChar">
    <w:name w:val="Header Char"/>
    <w:basedOn w:val="DefaultParagraphFont"/>
    <w:link w:val="Header"/>
    <w:uiPriority w:val="99"/>
    <w:rsid w:val="00A65DCC"/>
  </w:style>
  <w:style w:type="paragraph" w:styleId="Footer">
    <w:name w:val="footer"/>
    <w:basedOn w:val="Normal"/>
    <w:link w:val="FooterChar"/>
    <w:uiPriority w:val="99"/>
    <w:unhideWhenUsed/>
    <w:rsid w:val="00A65DCC"/>
    <w:pPr>
      <w:tabs>
        <w:tab w:val="center" w:pos="4680"/>
        <w:tab w:val="right" w:pos="9360"/>
      </w:tabs>
    </w:pPr>
  </w:style>
  <w:style w:type="character" w:customStyle="1" w:styleId="FooterChar">
    <w:name w:val="Footer Char"/>
    <w:basedOn w:val="DefaultParagraphFont"/>
    <w:link w:val="Footer"/>
    <w:uiPriority w:val="99"/>
    <w:rsid w:val="00A65DCC"/>
  </w:style>
  <w:style w:type="character" w:customStyle="1" w:styleId="print-footnote">
    <w:name w:val="print-footnote"/>
    <w:basedOn w:val="DefaultParagraphFont"/>
    <w:rsid w:val="00980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3A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A83A50"/>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A83A50"/>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A50"/>
    <w:rPr>
      <w:rFonts w:eastAsia="Times New Roman"/>
      <w:b/>
      <w:bCs/>
      <w:sz w:val="36"/>
      <w:szCs w:val="36"/>
    </w:rPr>
  </w:style>
  <w:style w:type="character" w:customStyle="1" w:styleId="Heading3Char">
    <w:name w:val="Heading 3 Char"/>
    <w:basedOn w:val="DefaultParagraphFont"/>
    <w:link w:val="Heading3"/>
    <w:uiPriority w:val="9"/>
    <w:rsid w:val="00A83A50"/>
    <w:rPr>
      <w:rFonts w:eastAsia="Times New Roman"/>
      <w:b/>
      <w:bCs/>
      <w:sz w:val="27"/>
      <w:szCs w:val="27"/>
    </w:rPr>
  </w:style>
  <w:style w:type="character" w:customStyle="1" w:styleId="Heading4Char">
    <w:name w:val="Heading 4 Char"/>
    <w:basedOn w:val="DefaultParagraphFont"/>
    <w:link w:val="Heading4"/>
    <w:uiPriority w:val="9"/>
    <w:rsid w:val="00A83A50"/>
    <w:rPr>
      <w:rFonts w:eastAsia="Times New Roman"/>
      <w:b/>
      <w:bCs/>
    </w:rPr>
  </w:style>
  <w:style w:type="paragraph" w:styleId="NormalWeb">
    <w:name w:val="Normal (Web)"/>
    <w:basedOn w:val="Normal"/>
    <w:uiPriority w:val="99"/>
    <w:unhideWhenUsed/>
    <w:rsid w:val="00A83A50"/>
    <w:pPr>
      <w:spacing w:before="100" w:beforeAutospacing="1" w:after="100" w:afterAutospacing="1"/>
    </w:pPr>
    <w:rPr>
      <w:rFonts w:eastAsia="Times New Roman"/>
    </w:rPr>
  </w:style>
  <w:style w:type="character" w:styleId="Strong">
    <w:name w:val="Strong"/>
    <w:basedOn w:val="DefaultParagraphFont"/>
    <w:uiPriority w:val="22"/>
    <w:qFormat/>
    <w:rsid w:val="00A83A50"/>
    <w:rPr>
      <w:b/>
      <w:bCs/>
    </w:rPr>
  </w:style>
  <w:style w:type="character" w:styleId="Hyperlink">
    <w:name w:val="Hyperlink"/>
    <w:basedOn w:val="DefaultParagraphFont"/>
    <w:uiPriority w:val="99"/>
    <w:unhideWhenUsed/>
    <w:rsid w:val="00A83A50"/>
    <w:rPr>
      <w:color w:val="0000FF"/>
      <w:u w:val="single"/>
    </w:rPr>
  </w:style>
  <w:style w:type="paragraph" w:styleId="BalloonText">
    <w:name w:val="Balloon Text"/>
    <w:basedOn w:val="Normal"/>
    <w:link w:val="BalloonTextChar"/>
    <w:uiPriority w:val="99"/>
    <w:semiHidden/>
    <w:unhideWhenUsed/>
    <w:rsid w:val="00A83A50"/>
    <w:rPr>
      <w:rFonts w:ascii="Tahoma" w:hAnsi="Tahoma" w:cs="Tahoma"/>
      <w:sz w:val="16"/>
      <w:szCs w:val="16"/>
    </w:rPr>
  </w:style>
  <w:style w:type="character" w:customStyle="1" w:styleId="BalloonTextChar">
    <w:name w:val="Balloon Text Char"/>
    <w:basedOn w:val="DefaultParagraphFont"/>
    <w:link w:val="BalloonText"/>
    <w:uiPriority w:val="99"/>
    <w:semiHidden/>
    <w:rsid w:val="00A83A50"/>
    <w:rPr>
      <w:rFonts w:ascii="Tahoma" w:hAnsi="Tahoma" w:cs="Tahoma"/>
      <w:sz w:val="16"/>
      <w:szCs w:val="16"/>
    </w:rPr>
  </w:style>
  <w:style w:type="table" w:styleId="TableGrid">
    <w:name w:val="Table Grid"/>
    <w:basedOn w:val="TableNormal"/>
    <w:uiPriority w:val="59"/>
    <w:rsid w:val="00A83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CC"/>
    <w:pPr>
      <w:tabs>
        <w:tab w:val="center" w:pos="4680"/>
        <w:tab w:val="right" w:pos="9360"/>
      </w:tabs>
    </w:pPr>
  </w:style>
  <w:style w:type="character" w:customStyle="1" w:styleId="HeaderChar">
    <w:name w:val="Header Char"/>
    <w:basedOn w:val="DefaultParagraphFont"/>
    <w:link w:val="Header"/>
    <w:uiPriority w:val="99"/>
    <w:rsid w:val="00A65DCC"/>
  </w:style>
  <w:style w:type="paragraph" w:styleId="Footer">
    <w:name w:val="footer"/>
    <w:basedOn w:val="Normal"/>
    <w:link w:val="FooterChar"/>
    <w:uiPriority w:val="99"/>
    <w:unhideWhenUsed/>
    <w:rsid w:val="00A65DCC"/>
    <w:pPr>
      <w:tabs>
        <w:tab w:val="center" w:pos="4680"/>
        <w:tab w:val="right" w:pos="9360"/>
      </w:tabs>
    </w:pPr>
  </w:style>
  <w:style w:type="character" w:customStyle="1" w:styleId="FooterChar">
    <w:name w:val="Footer Char"/>
    <w:basedOn w:val="DefaultParagraphFont"/>
    <w:link w:val="Footer"/>
    <w:uiPriority w:val="99"/>
    <w:rsid w:val="00A65DCC"/>
  </w:style>
  <w:style w:type="character" w:customStyle="1" w:styleId="print-footnote">
    <w:name w:val="print-footnote"/>
    <w:basedOn w:val="DefaultParagraphFont"/>
    <w:rsid w:val="0098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017">
      <w:bodyDiv w:val="1"/>
      <w:marLeft w:val="0"/>
      <w:marRight w:val="0"/>
      <w:marTop w:val="0"/>
      <w:marBottom w:val="0"/>
      <w:divBdr>
        <w:top w:val="none" w:sz="0" w:space="0" w:color="auto"/>
        <w:left w:val="none" w:sz="0" w:space="0" w:color="auto"/>
        <w:bottom w:val="none" w:sz="0" w:space="0" w:color="auto"/>
        <w:right w:val="none" w:sz="0" w:space="0" w:color="auto"/>
      </w:divBdr>
      <w:divsChild>
        <w:div w:id="82343805">
          <w:marLeft w:val="0"/>
          <w:marRight w:val="0"/>
          <w:marTop w:val="0"/>
          <w:marBottom w:val="0"/>
          <w:divBdr>
            <w:top w:val="none" w:sz="0" w:space="0" w:color="auto"/>
            <w:left w:val="none" w:sz="0" w:space="0" w:color="auto"/>
            <w:bottom w:val="none" w:sz="0" w:space="0" w:color="auto"/>
            <w:right w:val="none" w:sz="0" w:space="0" w:color="auto"/>
          </w:divBdr>
          <w:divsChild>
            <w:div w:id="757560034">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 w:id="724138962">
      <w:bodyDiv w:val="1"/>
      <w:marLeft w:val="0"/>
      <w:marRight w:val="0"/>
      <w:marTop w:val="0"/>
      <w:marBottom w:val="0"/>
      <w:divBdr>
        <w:top w:val="none" w:sz="0" w:space="0" w:color="auto"/>
        <w:left w:val="none" w:sz="0" w:space="0" w:color="auto"/>
        <w:bottom w:val="none" w:sz="0" w:space="0" w:color="auto"/>
        <w:right w:val="none" w:sz="0" w:space="0" w:color="auto"/>
      </w:divBdr>
      <w:divsChild>
        <w:div w:id="1667056522">
          <w:marLeft w:val="0"/>
          <w:marRight w:val="0"/>
          <w:marTop w:val="0"/>
          <w:marBottom w:val="0"/>
          <w:divBdr>
            <w:top w:val="none" w:sz="0" w:space="0" w:color="auto"/>
            <w:left w:val="none" w:sz="0" w:space="0" w:color="auto"/>
            <w:bottom w:val="none" w:sz="0" w:space="0" w:color="auto"/>
            <w:right w:val="none" w:sz="0" w:space="0" w:color="auto"/>
          </w:divBdr>
          <w:divsChild>
            <w:div w:id="255329820">
              <w:marLeft w:val="0"/>
              <w:marRight w:val="0"/>
              <w:marTop w:val="0"/>
              <w:marBottom w:val="0"/>
              <w:divBdr>
                <w:top w:val="none" w:sz="0" w:space="0" w:color="auto"/>
                <w:left w:val="none" w:sz="0" w:space="0" w:color="auto"/>
                <w:bottom w:val="none" w:sz="0" w:space="0" w:color="auto"/>
                <w:right w:val="none" w:sz="0" w:space="0" w:color="auto"/>
              </w:divBdr>
              <w:divsChild>
                <w:div w:id="1406220406">
                  <w:marLeft w:val="0"/>
                  <w:marRight w:val="0"/>
                  <w:marTop w:val="0"/>
                  <w:marBottom w:val="0"/>
                  <w:divBdr>
                    <w:top w:val="none" w:sz="0" w:space="0" w:color="auto"/>
                    <w:left w:val="none" w:sz="0" w:space="0" w:color="auto"/>
                    <w:bottom w:val="none" w:sz="0" w:space="0" w:color="auto"/>
                    <w:right w:val="none" w:sz="0" w:space="0" w:color="auto"/>
                  </w:divBdr>
                  <w:divsChild>
                    <w:div w:id="2066945074">
                      <w:marLeft w:val="0"/>
                      <w:marRight w:val="0"/>
                      <w:marTop w:val="288"/>
                      <w:marBottom w:val="0"/>
                      <w:divBdr>
                        <w:top w:val="none" w:sz="0" w:space="0" w:color="auto"/>
                        <w:left w:val="none" w:sz="0" w:space="0" w:color="auto"/>
                        <w:bottom w:val="none" w:sz="0" w:space="0" w:color="auto"/>
                        <w:right w:val="none" w:sz="0" w:space="0" w:color="auto"/>
                      </w:divBdr>
                    </w:div>
                  </w:divsChild>
                </w:div>
                <w:div w:id="2021155189">
                  <w:marLeft w:val="0"/>
                  <w:marRight w:val="0"/>
                  <w:marTop w:val="0"/>
                  <w:marBottom w:val="0"/>
                  <w:divBdr>
                    <w:top w:val="none" w:sz="0" w:space="0" w:color="auto"/>
                    <w:left w:val="none" w:sz="0" w:space="0" w:color="auto"/>
                    <w:bottom w:val="none" w:sz="0" w:space="0" w:color="auto"/>
                    <w:right w:val="none" w:sz="0" w:space="0" w:color="auto"/>
                  </w:divBdr>
                  <w:divsChild>
                    <w:div w:id="225527663">
                      <w:marLeft w:val="0"/>
                      <w:marRight w:val="0"/>
                      <w:marTop w:val="288"/>
                      <w:marBottom w:val="0"/>
                      <w:divBdr>
                        <w:top w:val="none" w:sz="0" w:space="0" w:color="auto"/>
                        <w:left w:val="none" w:sz="0" w:space="0" w:color="auto"/>
                        <w:bottom w:val="none" w:sz="0" w:space="0" w:color="auto"/>
                        <w:right w:val="none" w:sz="0" w:space="0" w:color="auto"/>
                      </w:divBdr>
                    </w:div>
                  </w:divsChild>
                </w:div>
                <w:div w:id="2097169530">
                  <w:marLeft w:val="0"/>
                  <w:marRight w:val="0"/>
                  <w:marTop w:val="0"/>
                  <w:marBottom w:val="0"/>
                  <w:divBdr>
                    <w:top w:val="none" w:sz="0" w:space="0" w:color="auto"/>
                    <w:left w:val="none" w:sz="0" w:space="0" w:color="auto"/>
                    <w:bottom w:val="none" w:sz="0" w:space="0" w:color="auto"/>
                    <w:right w:val="none" w:sz="0" w:space="0" w:color="auto"/>
                  </w:divBdr>
                  <w:divsChild>
                    <w:div w:id="1510290576">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 w:id="806165684">
      <w:bodyDiv w:val="1"/>
      <w:marLeft w:val="0"/>
      <w:marRight w:val="0"/>
      <w:marTop w:val="0"/>
      <w:marBottom w:val="0"/>
      <w:divBdr>
        <w:top w:val="none" w:sz="0" w:space="0" w:color="auto"/>
        <w:left w:val="none" w:sz="0" w:space="0" w:color="auto"/>
        <w:bottom w:val="none" w:sz="0" w:space="0" w:color="auto"/>
        <w:right w:val="none" w:sz="0" w:space="0" w:color="auto"/>
      </w:divBdr>
      <w:divsChild>
        <w:div w:id="670722240">
          <w:marLeft w:val="0"/>
          <w:marRight w:val="0"/>
          <w:marTop w:val="0"/>
          <w:marBottom w:val="0"/>
          <w:divBdr>
            <w:top w:val="none" w:sz="0" w:space="0" w:color="auto"/>
            <w:left w:val="none" w:sz="0" w:space="0" w:color="auto"/>
            <w:bottom w:val="none" w:sz="0" w:space="0" w:color="auto"/>
            <w:right w:val="none" w:sz="0" w:space="0" w:color="auto"/>
          </w:divBdr>
          <w:divsChild>
            <w:div w:id="1784109767">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 w:id="1241599885">
      <w:bodyDiv w:val="1"/>
      <w:marLeft w:val="0"/>
      <w:marRight w:val="0"/>
      <w:marTop w:val="0"/>
      <w:marBottom w:val="0"/>
      <w:divBdr>
        <w:top w:val="none" w:sz="0" w:space="0" w:color="auto"/>
        <w:left w:val="none" w:sz="0" w:space="0" w:color="auto"/>
        <w:bottom w:val="none" w:sz="0" w:space="0" w:color="auto"/>
        <w:right w:val="none" w:sz="0" w:space="0" w:color="auto"/>
      </w:divBdr>
      <w:divsChild>
        <w:div w:id="1013414802">
          <w:marLeft w:val="0"/>
          <w:marRight w:val="0"/>
          <w:marTop w:val="0"/>
          <w:marBottom w:val="0"/>
          <w:divBdr>
            <w:top w:val="none" w:sz="0" w:space="0" w:color="auto"/>
            <w:left w:val="none" w:sz="0" w:space="0" w:color="auto"/>
            <w:bottom w:val="none" w:sz="0" w:space="0" w:color="auto"/>
            <w:right w:val="none" w:sz="0" w:space="0" w:color="auto"/>
          </w:divBdr>
          <w:divsChild>
            <w:div w:id="985817356">
              <w:marLeft w:val="0"/>
              <w:marRight w:val="0"/>
              <w:marTop w:val="0"/>
              <w:marBottom w:val="0"/>
              <w:divBdr>
                <w:top w:val="none" w:sz="0" w:space="0" w:color="auto"/>
                <w:left w:val="none" w:sz="0" w:space="0" w:color="auto"/>
                <w:bottom w:val="none" w:sz="0" w:space="0" w:color="auto"/>
                <w:right w:val="none" w:sz="0" w:space="0" w:color="auto"/>
              </w:divBdr>
            </w:div>
            <w:div w:id="1182820811">
              <w:marLeft w:val="0"/>
              <w:marRight w:val="0"/>
              <w:marTop w:val="0"/>
              <w:marBottom w:val="0"/>
              <w:divBdr>
                <w:top w:val="none" w:sz="0" w:space="0" w:color="auto"/>
                <w:left w:val="none" w:sz="0" w:space="0" w:color="auto"/>
                <w:bottom w:val="none" w:sz="0" w:space="0" w:color="auto"/>
                <w:right w:val="none" w:sz="0" w:space="0" w:color="auto"/>
              </w:divBdr>
            </w:div>
            <w:div w:id="111554044">
              <w:marLeft w:val="0"/>
              <w:marRight w:val="0"/>
              <w:marTop w:val="0"/>
              <w:marBottom w:val="0"/>
              <w:divBdr>
                <w:top w:val="none" w:sz="0" w:space="0" w:color="auto"/>
                <w:left w:val="none" w:sz="0" w:space="0" w:color="auto"/>
                <w:bottom w:val="none" w:sz="0" w:space="0" w:color="auto"/>
                <w:right w:val="none" w:sz="0" w:space="0" w:color="auto"/>
              </w:divBdr>
            </w:div>
          </w:divsChild>
        </w:div>
        <w:div w:id="969165065">
          <w:marLeft w:val="0"/>
          <w:marRight w:val="0"/>
          <w:marTop w:val="0"/>
          <w:marBottom w:val="0"/>
          <w:divBdr>
            <w:top w:val="none" w:sz="0" w:space="0" w:color="auto"/>
            <w:left w:val="none" w:sz="0" w:space="0" w:color="auto"/>
            <w:bottom w:val="none" w:sz="0" w:space="0" w:color="auto"/>
            <w:right w:val="none" w:sz="0" w:space="0" w:color="auto"/>
          </w:divBdr>
          <w:divsChild>
            <w:div w:id="662246221">
              <w:marLeft w:val="0"/>
              <w:marRight w:val="0"/>
              <w:marTop w:val="0"/>
              <w:marBottom w:val="0"/>
              <w:divBdr>
                <w:top w:val="none" w:sz="0" w:space="0" w:color="auto"/>
                <w:left w:val="none" w:sz="0" w:space="0" w:color="auto"/>
                <w:bottom w:val="none" w:sz="0" w:space="0" w:color="auto"/>
                <w:right w:val="none" w:sz="0" w:space="0" w:color="auto"/>
              </w:divBdr>
            </w:div>
            <w:div w:id="543063715">
              <w:marLeft w:val="0"/>
              <w:marRight w:val="0"/>
              <w:marTop w:val="0"/>
              <w:marBottom w:val="0"/>
              <w:divBdr>
                <w:top w:val="none" w:sz="0" w:space="0" w:color="auto"/>
                <w:left w:val="none" w:sz="0" w:space="0" w:color="auto"/>
                <w:bottom w:val="none" w:sz="0" w:space="0" w:color="auto"/>
                <w:right w:val="none" w:sz="0" w:space="0" w:color="auto"/>
              </w:divBdr>
            </w:div>
            <w:div w:id="1403068393">
              <w:marLeft w:val="0"/>
              <w:marRight w:val="0"/>
              <w:marTop w:val="0"/>
              <w:marBottom w:val="0"/>
              <w:divBdr>
                <w:top w:val="none" w:sz="0" w:space="0" w:color="auto"/>
                <w:left w:val="none" w:sz="0" w:space="0" w:color="auto"/>
                <w:bottom w:val="none" w:sz="0" w:space="0" w:color="auto"/>
                <w:right w:val="none" w:sz="0" w:space="0" w:color="auto"/>
              </w:divBdr>
            </w:div>
          </w:divsChild>
        </w:div>
        <w:div w:id="1407263988">
          <w:marLeft w:val="0"/>
          <w:marRight w:val="0"/>
          <w:marTop w:val="0"/>
          <w:marBottom w:val="0"/>
          <w:divBdr>
            <w:top w:val="none" w:sz="0" w:space="0" w:color="auto"/>
            <w:left w:val="none" w:sz="0" w:space="0" w:color="auto"/>
            <w:bottom w:val="none" w:sz="0" w:space="0" w:color="auto"/>
            <w:right w:val="none" w:sz="0" w:space="0" w:color="auto"/>
          </w:divBdr>
          <w:divsChild>
            <w:div w:id="544372609">
              <w:marLeft w:val="0"/>
              <w:marRight w:val="0"/>
              <w:marTop w:val="0"/>
              <w:marBottom w:val="0"/>
              <w:divBdr>
                <w:top w:val="none" w:sz="0" w:space="0" w:color="auto"/>
                <w:left w:val="none" w:sz="0" w:space="0" w:color="auto"/>
                <w:bottom w:val="none" w:sz="0" w:space="0" w:color="auto"/>
                <w:right w:val="none" w:sz="0" w:space="0" w:color="auto"/>
              </w:divBdr>
            </w:div>
            <w:div w:id="1268126000">
              <w:marLeft w:val="0"/>
              <w:marRight w:val="0"/>
              <w:marTop w:val="0"/>
              <w:marBottom w:val="0"/>
              <w:divBdr>
                <w:top w:val="none" w:sz="0" w:space="0" w:color="auto"/>
                <w:left w:val="none" w:sz="0" w:space="0" w:color="auto"/>
                <w:bottom w:val="none" w:sz="0" w:space="0" w:color="auto"/>
                <w:right w:val="none" w:sz="0" w:space="0" w:color="auto"/>
              </w:divBdr>
            </w:div>
            <w:div w:id="1272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258">
      <w:bodyDiv w:val="1"/>
      <w:marLeft w:val="0"/>
      <w:marRight w:val="0"/>
      <w:marTop w:val="0"/>
      <w:marBottom w:val="0"/>
      <w:divBdr>
        <w:top w:val="none" w:sz="0" w:space="0" w:color="auto"/>
        <w:left w:val="none" w:sz="0" w:space="0" w:color="auto"/>
        <w:bottom w:val="none" w:sz="0" w:space="0" w:color="auto"/>
        <w:right w:val="none" w:sz="0" w:space="0" w:color="auto"/>
      </w:divBdr>
      <w:divsChild>
        <w:div w:id="1904563538">
          <w:marLeft w:val="0"/>
          <w:marRight w:val="0"/>
          <w:marTop w:val="0"/>
          <w:marBottom w:val="0"/>
          <w:divBdr>
            <w:top w:val="none" w:sz="0" w:space="0" w:color="auto"/>
            <w:left w:val="none" w:sz="0" w:space="0" w:color="auto"/>
            <w:bottom w:val="none" w:sz="0" w:space="0" w:color="auto"/>
            <w:right w:val="none" w:sz="0" w:space="0" w:color="auto"/>
          </w:divBdr>
          <w:divsChild>
            <w:div w:id="193347995">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 w:id="1709599948">
      <w:bodyDiv w:val="1"/>
      <w:marLeft w:val="0"/>
      <w:marRight w:val="0"/>
      <w:marTop w:val="0"/>
      <w:marBottom w:val="0"/>
      <w:divBdr>
        <w:top w:val="none" w:sz="0" w:space="0" w:color="auto"/>
        <w:left w:val="none" w:sz="0" w:space="0" w:color="auto"/>
        <w:bottom w:val="none" w:sz="0" w:space="0" w:color="auto"/>
        <w:right w:val="none" w:sz="0" w:space="0" w:color="auto"/>
      </w:divBdr>
      <w:divsChild>
        <w:div w:id="142491492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st.org/research/ud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rset@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itcs</cp:lastModifiedBy>
  <cp:revision>8</cp:revision>
  <cp:lastPrinted>2012-11-05T15:04:00Z</cp:lastPrinted>
  <dcterms:created xsi:type="dcterms:W3CDTF">2012-10-04T19:10:00Z</dcterms:created>
  <dcterms:modified xsi:type="dcterms:W3CDTF">2012-11-05T15:04:00Z</dcterms:modified>
</cp:coreProperties>
</file>