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6A" w:rsidRDefault="00B129CC" w:rsidP="00B129C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Guidelines for Source Synthesis Essay</w:t>
      </w:r>
    </w:p>
    <w:p w:rsidR="00B129CC" w:rsidRDefault="00E21CB5" w:rsidP="00B129C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ENG 2201</w:t>
      </w:r>
      <w:r w:rsidR="00F80D80">
        <w:rPr>
          <w:rFonts w:ascii="Times New Roman" w:hAnsi="Times New Roman" w:cs="Times New Roman"/>
          <w:b/>
          <w:sz w:val="24"/>
          <w:szCs w:val="24"/>
        </w:rPr>
        <w:t xml:space="preserve"> – Summer</w:t>
      </w:r>
      <w:r w:rsidR="00B129CC">
        <w:rPr>
          <w:rFonts w:ascii="Times New Roman" w:hAnsi="Times New Roman" w:cs="Times New Roman"/>
          <w:b/>
          <w:sz w:val="24"/>
          <w:szCs w:val="24"/>
        </w:rPr>
        <w:t xml:space="preserve"> 2014</w:t>
      </w:r>
    </w:p>
    <w:p w:rsidR="00B129CC" w:rsidRDefault="00E21CB5" w:rsidP="00B129C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Due:  Saturday, July 5, 2015</w:t>
      </w:r>
      <w:r w:rsidR="00F80D80">
        <w:rPr>
          <w:rFonts w:ascii="Times New Roman" w:hAnsi="Times New Roman" w:cs="Times New Roman"/>
          <w:b/>
          <w:sz w:val="24"/>
          <w:szCs w:val="24"/>
        </w:rPr>
        <w:t xml:space="preserve"> by 5</w:t>
      </w:r>
      <w:r w:rsidR="00B129CC">
        <w:rPr>
          <w:rFonts w:ascii="Times New Roman" w:hAnsi="Times New Roman" w:cs="Times New Roman"/>
          <w:b/>
          <w:sz w:val="24"/>
          <w:szCs w:val="24"/>
        </w:rPr>
        <w:t>:00 p.m.</w:t>
      </w:r>
    </w:p>
    <w:p w:rsidR="00B129CC" w:rsidRDefault="00B129CC" w:rsidP="00B129CC">
      <w:pPr>
        <w:spacing w:line="240" w:lineRule="auto"/>
        <w:contextualSpacing/>
        <w:jc w:val="center"/>
        <w:rPr>
          <w:rFonts w:ascii="Times New Roman" w:hAnsi="Times New Roman" w:cs="Times New Roman"/>
          <w:b/>
          <w:sz w:val="24"/>
          <w:szCs w:val="24"/>
        </w:rPr>
      </w:pPr>
    </w:p>
    <w:p w:rsidR="00B129CC" w:rsidRDefault="00B129CC" w:rsidP="00B129CC">
      <w:pPr>
        <w:spacing w:line="240" w:lineRule="auto"/>
        <w:contextualSpacing/>
        <w:rPr>
          <w:rFonts w:ascii="Times New Roman" w:hAnsi="Times New Roman" w:cs="Times New Roman"/>
          <w:b/>
          <w:sz w:val="24"/>
          <w:szCs w:val="24"/>
        </w:rPr>
      </w:pPr>
    </w:p>
    <w:p w:rsidR="00B129CC" w:rsidRDefault="00B129CC" w:rsidP="00B129C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After reading </w:t>
      </w:r>
      <w:r w:rsidR="00F866FA">
        <w:rPr>
          <w:rFonts w:ascii="Times New Roman" w:hAnsi="Times New Roman" w:cs="Times New Roman"/>
          <w:sz w:val="24"/>
          <w:szCs w:val="24"/>
        </w:rPr>
        <w:t>the posted notes on developing your career</w:t>
      </w:r>
      <w:r>
        <w:rPr>
          <w:rFonts w:ascii="Times New Roman" w:hAnsi="Times New Roman" w:cs="Times New Roman"/>
          <w:sz w:val="24"/>
          <w:szCs w:val="24"/>
        </w:rPr>
        <w:t xml:space="preserve"> research topic and evaluating sources, as well as those on synthesizing sources – you are to develop a </w:t>
      </w:r>
      <w:r>
        <w:rPr>
          <w:rFonts w:ascii="Times New Roman" w:hAnsi="Times New Roman" w:cs="Times New Roman"/>
          <w:b/>
          <w:sz w:val="24"/>
          <w:szCs w:val="24"/>
        </w:rPr>
        <w:t xml:space="preserve">minimum 2-page, double-spaced synthesis essay discussing </w:t>
      </w:r>
      <w:r w:rsidR="00F866FA">
        <w:rPr>
          <w:rFonts w:ascii="Times New Roman" w:hAnsi="Times New Roman" w:cs="Times New Roman"/>
          <w:b/>
          <w:i/>
          <w:sz w:val="24"/>
          <w:szCs w:val="24"/>
        </w:rPr>
        <w:t>at least three – preferably five</w:t>
      </w:r>
      <w:r>
        <w:rPr>
          <w:rFonts w:ascii="Times New Roman" w:hAnsi="Times New Roman" w:cs="Times New Roman"/>
          <w:b/>
          <w:i/>
          <w:sz w:val="24"/>
          <w:szCs w:val="24"/>
        </w:rPr>
        <w:t xml:space="preserve"> – </w:t>
      </w:r>
      <w:r>
        <w:rPr>
          <w:rFonts w:ascii="Times New Roman" w:hAnsi="Times New Roman" w:cs="Times New Roman"/>
          <w:b/>
          <w:sz w:val="24"/>
          <w:szCs w:val="24"/>
        </w:rPr>
        <w:t>of the sources you think you may use for your final research project.</w:t>
      </w:r>
    </w:p>
    <w:p w:rsidR="00B129CC" w:rsidRDefault="00B129CC" w:rsidP="00B129CC">
      <w:pPr>
        <w:spacing w:line="240" w:lineRule="auto"/>
        <w:contextualSpacing/>
        <w:rPr>
          <w:rFonts w:ascii="Times New Roman" w:hAnsi="Times New Roman" w:cs="Times New Roman"/>
          <w:sz w:val="24"/>
          <w:szCs w:val="24"/>
        </w:rPr>
      </w:pPr>
    </w:p>
    <w:p w:rsidR="00B129CC" w:rsidRDefault="00B129CC" w:rsidP="00B129C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this essay, you will list the sources at the beginning in MLA format, just as you would for a Works Cited page – After the listing of sources, you should drop down two spaces and begin your synthesis essay.  Think about the following:</w:t>
      </w:r>
    </w:p>
    <w:p w:rsidR="00B129CC" w:rsidRPr="00B129CC" w:rsidRDefault="00B129CC" w:rsidP="00B129CC">
      <w:pPr>
        <w:spacing w:line="240" w:lineRule="auto"/>
        <w:contextualSpacing/>
        <w:rPr>
          <w:rFonts w:ascii="Times New Roman" w:hAnsi="Times New Roman" w:cs="Times New Roman"/>
          <w:sz w:val="24"/>
          <w:szCs w:val="24"/>
        </w:rPr>
      </w:pPr>
    </w:p>
    <w:p w:rsidR="00B129CC" w:rsidRPr="00B129CC" w:rsidRDefault="00B129CC" w:rsidP="00DE1C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CC">
        <w:rPr>
          <w:rFonts w:ascii="Times New Roman" w:eastAsia="Times New Roman" w:hAnsi="Times New Roman" w:cs="Times New Roman"/>
          <w:b/>
          <w:bCs/>
          <w:sz w:val="24"/>
          <w:szCs w:val="24"/>
        </w:rPr>
        <w:t>Summarize</w:t>
      </w:r>
      <w:r w:rsidRPr="00B129CC">
        <w:rPr>
          <w:rFonts w:ascii="Times New Roman" w:eastAsia="Times New Roman" w:hAnsi="Times New Roman" w:cs="Times New Roman"/>
          <w:sz w:val="24"/>
          <w:szCs w:val="24"/>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B129CC" w:rsidRPr="00B129CC" w:rsidRDefault="00B129CC" w:rsidP="00B129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CC">
        <w:rPr>
          <w:rFonts w:ascii="Times New Roman" w:eastAsia="Times New Roman" w:hAnsi="Times New Roman" w:cs="Times New Roman"/>
          <w:b/>
          <w:bCs/>
          <w:sz w:val="24"/>
          <w:szCs w:val="24"/>
        </w:rPr>
        <w:t>Assess</w:t>
      </w:r>
      <w:r w:rsidRPr="00B129CC">
        <w:rPr>
          <w:rFonts w:ascii="Times New Roman" w:eastAsia="Times New Roman" w:hAnsi="Times New Roman" w:cs="Times New Roman"/>
          <w:sz w:val="24"/>
          <w:szCs w:val="24"/>
        </w:rPr>
        <w:t xml:space="preserve">: After summarizing a source, it may be helpful to evaluate it. Is it a useful source? How does it compare with other sources in your bibliography? Is the information reliable? Is this source biased or objective? What is the goal of this source? </w:t>
      </w:r>
    </w:p>
    <w:p w:rsidR="00B129CC" w:rsidRDefault="00B129CC" w:rsidP="00B129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CC">
        <w:rPr>
          <w:rFonts w:ascii="Times New Roman" w:eastAsia="Times New Roman" w:hAnsi="Times New Roman" w:cs="Times New Roman"/>
          <w:b/>
          <w:bCs/>
          <w:sz w:val="24"/>
          <w:szCs w:val="24"/>
        </w:rPr>
        <w:t>Reflect</w:t>
      </w:r>
      <w:r w:rsidRPr="00B129CC">
        <w:rPr>
          <w:rFonts w:ascii="Times New Roman" w:eastAsia="Times New Roman" w:hAnsi="Times New Roman" w:cs="Times New Roman"/>
          <w:sz w:val="24"/>
          <w:szCs w:val="24"/>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rsidR="00B129CC" w:rsidRPr="00B129CC" w:rsidRDefault="00B129CC" w:rsidP="00B129CC">
      <w:pPr>
        <w:spacing w:before="100" w:beforeAutospacing="1" w:after="100" w:afterAutospacing="1" w:line="240" w:lineRule="auto"/>
        <w:ind w:left="360"/>
        <w:rPr>
          <w:rFonts w:ascii="Times New Roman" w:eastAsia="Times New Roman" w:hAnsi="Times New Roman" w:cs="Times New Roman"/>
          <w:sz w:val="24"/>
          <w:szCs w:val="24"/>
        </w:rPr>
      </w:pPr>
      <w:r w:rsidRPr="00B129CC">
        <w:rPr>
          <w:rFonts w:ascii="Times New Roman" w:eastAsia="Times New Roman" w:hAnsi="Times New Roman" w:cs="Times New Roman"/>
          <w:bCs/>
          <w:sz w:val="24"/>
          <w:szCs w:val="24"/>
        </w:rPr>
        <w:t xml:space="preserve">These are some questions you may ask yourself about a source you are considering.  Then, after applying these questions (and more that you may think of) to </w:t>
      </w:r>
      <w:r w:rsidRPr="00B129CC">
        <w:rPr>
          <w:rFonts w:ascii="Times New Roman" w:eastAsia="Times New Roman" w:hAnsi="Times New Roman" w:cs="Times New Roman"/>
          <w:b/>
          <w:bCs/>
          <w:sz w:val="24"/>
          <w:szCs w:val="24"/>
        </w:rPr>
        <w:t>each source</w:t>
      </w:r>
      <w:r w:rsidRPr="00B129CC">
        <w:rPr>
          <w:rFonts w:ascii="Times New Roman" w:eastAsia="Times New Roman" w:hAnsi="Times New Roman" w:cs="Times New Roman"/>
          <w:bCs/>
          <w:sz w:val="24"/>
          <w:szCs w:val="24"/>
        </w:rPr>
        <w:t xml:space="preserve">, consider how these sources may possess similar themes and/or information.  This is where the </w:t>
      </w:r>
      <w:r w:rsidRPr="00B129CC">
        <w:rPr>
          <w:rFonts w:ascii="Times New Roman" w:eastAsia="Times New Roman" w:hAnsi="Times New Roman" w:cs="Times New Roman"/>
          <w:b/>
          <w:bCs/>
          <w:sz w:val="24"/>
          <w:szCs w:val="24"/>
        </w:rPr>
        <w:t>synthesis comes in</w:t>
      </w:r>
      <w:r w:rsidRPr="00B129CC">
        <w:rPr>
          <w:rFonts w:ascii="Times New Roman" w:eastAsia="Times New Roman" w:hAnsi="Times New Roman" w:cs="Times New Roman"/>
          <w:bCs/>
          <w:sz w:val="24"/>
          <w:szCs w:val="24"/>
        </w:rPr>
        <w:t xml:space="preserve">.  </w:t>
      </w:r>
      <w:r w:rsidRPr="00B129CC">
        <w:rPr>
          <w:rFonts w:ascii="Times New Roman" w:eastAsia="Times New Roman" w:hAnsi="Times New Roman" w:cs="Times New Roman"/>
          <w:sz w:val="24"/>
          <w:szCs w:val="24"/>
        </w:rPr>
        <w:t xml:space="preserve"> </w:t>
      </w:r>
    </w:p>
    <w:p w:rsidR="00B129CC" w:rsidRDefault="00B129CC" w:rsidP="00B129CC">
      <w:pPr>
        <w:pStyle w:val="BodyText"/>
        <w:tabs>
          <w:tab w:val="left" w:pos="840"/>
        </w:tabs>
        <w:ind w:left="0" w:firstLine="0"/>
      </w:pPr>
      <w:r>
        <w:rPr>
          <w:spacing w:val="-1"/>
        </w:rPr>
        <w:t xml:space="preserve">      Look</w:t>
      </w:r>
      <w:r>
        <w:t xml:space="preserve"> for</w:t>
      </w:r>
      <w:r>
        <w:rPr>
          <w:spacing w:val="-1"/>
        </w:rPr>
        <w:t xml:space="preserve"> connections</w:t>
      </w:r>
      <w:r>
        <w:t xml:space="preserve"> and links </w:t>
      </w:r>
      <w:r>
        <w:rPr>
          <w:spacing w:val="-1"/>
        </w:rPr>
        <w:t>between</w:t>
      </w:r>
      <w:r>
        <w:rPr>
          <w:spacing w:val="4"/>
        </w:rPr>
        <w:t xml:space="preserve"> </w:t>
      </w:r>
      <w:r>
        <w:rPr>
          <w:spacing w:val="-2"/>
        </w:rPr>
        <w:t>your</w:t>
      </w:r>
      <w:r>
        <w:rPr>
          <w:spacing w:val="-1"/>
        </w:rPr>
        <w:t xml:space="preserve"> readings</w:t>
      </w:r>
      <w:r>
        <w:t xml:space="preserve"> in order</w:t>
      </w:r>
      <w:r>
        <w:rPr>
          <w:spacing w:val="-1"/>
        </w:rPr>
        <w:t xml:space="preserve"> </w:t>
      </w:r>
      <w:r>
        <w:t xml:space="preserve">to </w:t>
      </w:r>
      <w:r>
        <w:rPr>
          <w:spacing w:val="-1"/>
        </w:rPr>
        <w:t>create</w:t>
      </w:r>
      <w:r>
        <w:rPr>
          <w:spacing w:val="3"/>
        </w:rPr>
        <w:t xml:space="preserve"> </w:t>
      </w:r>
      <w:r>
        <w:rPr>
          <w:spacing w:val="-1"/>
        </w:rPr>
        <w:t>your thesis.</w:t>
      </w:r>
    </w:p>
    <w:p w:rsidR="00B129CC" w:rsidRDefault="00B129CC" w:rsidP="00B129CC">
      <w:pPr>
        <w:pStyle w:val="BodyText"/>
        <w:tabs>
          <w:tab w:val="left" w:pos="840"/>
        </w:tabs>
        <w:ind w:left="0" w:right="669" w:firstLine="0"/>
      </w:pPr>
      <w:r>
        <w:t xml:space="preserve">     Write</w:t>
      </w:r>
      <w:r>
        <w:rPr>
          <w:spacing w:val="-1"/>
        </w:rPr>
        <w:t xml:space="preserve"> and</w:t>
      </w:r>
      <w:r>
        <w:t xml:space="preserve"> </w:t>
      </w:r>
      <w:r>
        <w:rPr>
          <w:spacing w:val="-1"/>
        </w:rPr>
        <w:t>organize</w:t>
      </w:r>
      <w:r>
        <w:rPr>
          <w:spacing w:val="1"/>
        </w:rPr>
        <w:t xml:space="preserve"> </w:t>
      </w:r>
      <w:r>
        <w:rPr>
          <w:spacing w:val="-1"/>
        </w:rPr>
        <w:t>your</w:t>
      </w:r>
      <w:r>
        <w:rPr>
          <w:spacing w:val="1"/>
        </w:rPr>
        <w:t xml:space="preserve"> </w:t>
      </w:r>
      <w:r>
        <w:rPr>
          <w:spacing w:val="-1"/>
        </w:rPr>
        <w:t xml:space="preserve">paper </w:t>
      </w:r>
      <w:r>
        <w:t xml:space="preserve">in </w:t>
      </w:r>
      <w:r>
        <w:rPr>
          <w:spacing w:val="-1"/>
        </w:rPr>
        <w:t>such</w:t>
      </w:r>
      <w:r>
        <w:rPr>
          <w:spacing w:val="2"/>
        </w:rPr>
        <w:t xml:space="preserve"> </w:t>
      </w:r>
      <w:r>
        <w:t>a</w:t>
      </w:r>
      <w:r>
        <w:rPr>
          <w:spacing w:val="-1"/>
        </w:rPr>
        <w:t xml:space="preserve"> </w:t>
      </w:r>
      <w:r>
        <w:t>way</w:t>
      </w:r>
      <w:r>
        <w:rPr>
          <w:spacing w:val="-5"/>
        </w:rPr>
        <w:t xml:space="preserve"> </w:t>
      </w:r>
      <w:r>
        <w:rPr>
          <w:spacing w:val="-1"/>
        </w:rPr>
        <w:t>that</w:t>
      </w:r>
      <w:r>
        <w:rPr>
          <w:spacing w:val="2"/>
        </w:rPr>
        <w:t xml:space="preserve"> </w:t>
      </w:r>
      <w:r>
        <w:rPr>
          <w:spacing w:val="-1"/>
        </w:rPr>
        <w:t>your</w:t>
      </w:r>
      <w:r>
        <w:rPr>
          <w:spacing w:val="1"/>
        </w:rPr>
        <w:t xml:space="preserve"> </w:t>
      </w:r>
      <w:r>
        <w:rPr>
          <w:spacing w:val="-1"/>
        </w:rPr>
        <w:t>readers</w:t>
      </w:r>
      <w:r>
        <w:t xml:space="preserve"> </w:t>
      </w:r>
      <w:r>
        <w:rPr>
          <w:spacing w:val="-1"/>
        </w:rPr>
        <w:t>understand</w:t>
      </w:r>
      <w:r>
        <w:rPr>
          <w:spacing w:val="2"/>
        </w:rPr>
        <w:t xml:space="preserve"> </w:t>
      </w:r>
      <w:r>
        <w:rPr>
          <w:spacing w:val="-1"/>
        </w:rPr>
        <w:t xml:space="preserve">where </w:t>
      </w:r>
      <w:r>
        <w:t>the</w:t>
      </w:r>
    </w:p>
    <w:p w:rsidR="00B129CC" w:rsidRDefault="00B129CC" w:rsidP="00B129CC">
      <w:pPr>
        <w:pStyle w:val="BodyText"/>
        <w:tabs>
          <w:tab w:val="left" w:pos="840"/>
        </w:tabs>
        <w:ind w:left="0" w:right="669" w:firstLine="0"/>
      </w:pPr>
      <w:r>
        <w:t xml:space="preserve">      </w:t>
      </w:r>
      <w:proofErr w:type="gramStart"/>
      <w:r>
        <w:rPr>
          <w:spacing w:val="-1"/>
        </w:rPr>
        <w:t>information</w:t>
      </w:r>
      <w:proofErr w:type="gramEnd"/>
      <w:r>
        <w:t xml:space="preserve"> </w:t>
      </w:r>
      <w:r>
        <w:rPr>
          <w:spacing w:val="-1"/>
        </w:rPr>
        <w:t>from</w:t>
      </w:r>
      <w:r>
        <w:t xml:space="preserve"> the</w:t>
      </w:r>
      <w:r>
        <w:rPr>
          <w:spacing w:val="-1"/>
        </w:rPr>
        <w:t xml:space="preserve"> different</w:t>
      </w:r>
      <w:r>
        <w:t xml:space="preserve"> </w:t>
      </w:r>
      <w:r>
        <w:rPr>
          <w:spacing w:val="-1"/>
        </w:rPr>
        <w:t>sources</w:t>
      </w:r>
      <w:r>
        <w:t xml:space="preserve"> </w:t>
      </w:r>
      <w:r>
        <w:rPr>
          <w:spacing w:val="-1"/>
        </w:rPr>
        <w:t>overlap.</w:t>
      </w:r>
    </w:p>
    <w:p w:rsidR="00B129CC" w:rsidRDefault="00A4523F" w:rsidP="00DE1C9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working bibliography and/or synthesizing those sources</w:t>
      </w:r>
      <w:r w:rsidRPr="00265FCB">
        <w:rPr>
          <w:rFonts w:ascii="Times New Roman" w:eastAsia="Times New Roman" w:hAnsi="Times New Roman"/>
          <w:sz w:val="24"/>
          <w:szCs w:val="24"/>
        </w:rPr>
        <w:t xml:space="preserve"> is excellent preparation for a research project. Just collecting sources for a bibliography is useful, but when you have to write annotations for each source, you're forced to read each source more carefully. You begin to read more critically instead of just collecting information.</w:t>
      </w:r>
      <w:r>
        <w:rPr>
          <w:rFonts w:ascii="Times New Roman" w:eastAsia="Times New Roman" w:hAnsi="Times New Roman"/>
          <w:sz w:val="24"/>
          <w:szCs w:val="24"/>
        </w:rPr>
        <w:t xml:space="preserve"> At the professional level, a source synthesis can</w:t>
      </w:r>
      <w:r w:rsidRPr="00265FCB">
        <w:rPr>
          <w:rFonts w:ascii="Times New Roman" w:eastAsia="Times New Roman" w:hAnsi="Times New Roman"/>
          <w:sz w:val="24"/>
          <w:szCs w:val="24"/>
        </w:rPr>
        <w:t xml:space="preserve">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w:t>
      </w:r>
      <w:r>
        <w:rPr>
          <w:rFonts w:ascii="Times New Roman" w:eastAsia="Times New Roman" w:hAnsi="Times New Roman"/>
          <w:sz w:val="24"/>
          <w:szCs w:val="24"/>
        </w:rPr>
        <w:t>riting a source synthesis</w:t>
      </w:r>
      <w:r w:rsidRPr="00265FCB">
        <w:rPr>
          <w:rFonts w:ascii="Times New Roman" w:eastAsia="Times New Roman" w:hAnsi="Times New Roman"/>
          <w:sz w:val="24"/>
          <w:szCs w:val="24"/>
        </w:rPr>
        <w:t xml:space="preserve"> can help you gain a good perspective on what is being said about your topic. By reading and responding to a variety of sources on a topic, you'll start to see what the issues are, what people are arguing about, and you'll then be able to develop your own point of view</w:t>
      </w:r>
      <w:r w:rsidR="00DE1C90">
        <w:rPr>
          <w:rFonts w:ascii="Times New Roman" w:eastAsia="Times New Roman" w:hAnsi="Times New Roman" w:cs="Times New Roman"/>
          <w:sz w:val="24"/>
          <w:szCs w:val="24"/>
        </w:rPr>
        <w:t>.</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 &amp; MECHANICS:</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 throughout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12-point font (Times New Roman)</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sz w:val="24"/>
          <w:szCs w:val="24"/>
        </w:rPr>
      </w:pP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1-inch margins on </w:t>
      </w:r>
      <w:r>
        <w:rPr>
          <w:rFonts w:ascii="Times New Roman" w:eastAsia="Times New Roman" w:hAnsi="Times New Roman" w:cs="Times New Roman"/>
          <w:i/>
          <w:sz w:val="24"/>
          <w:szCs w:val="24"/>
        </w:rPr>
        <w:t>all 4 sides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MLA format uses “hanging indent”</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listing sources</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sz w:val="24"/>
          <w:szCs w:val="24"/>
        </w:rPr>
      </w:pP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r w:rsidR="00E47002">
        <w:rPr>
          <w:rFonts w:ascii="Times New Roman" w:eastAsia="Times New Roman" w:hAnsi="Times New Roman" w:cs="Times New Roman"/>
          <w:b/>
          <w:sz w:val="24"/>
          <w:szCs w:val="24"/>
        </w:rPr>
        <w:t xml:space="preserve"> (of beginning of synthesis)</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Industrious Student</w:t>
      </w:r>
    </w:p>
    <w:p w:rsidR="00DE1C90" w:rsidRDefault="00E21CB5"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ENG </w:t>
      </w:r>
      <w:r w:rsidR="00F866FA">
        <w:rPr>
          <w:rFonts w:ascii="Times New Roman" w:eastAsia="Times New Roman" w:hAnsi="Times New Roman" w:cs="Times New Roman"/>
          <w:b/>
          <w:sz w:val="24"/>
          <w:szCs w:val="24"/>
        </w:rPr>
        <w:t>1200/</w:t>
      </w:r>
      <w:bookmarkStart w:id="0" w:name="_GoBack"/>
      <w:bookmarkEnd w:id="0"/>
      <w:r>
        <w:rPr>
          <w:rFonts w:ascii="Times New Roman" w:eastAsia="Times New Roman" w:hAnsi="Times New Roman" w:cs="Times New Roman"/>
          <w:b/>
          <w:sz w:val="24"/>
          <w:szCs w:val="24"/>
        </w:rPr>
        <w:t>2201</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 Shoop</w:t>
      </w:r>
    </w:p>
    <w:p w:rsidR="00DE1C90" w:rsidRDefault="00F80D8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July 5</w:t>
      </w:r>
      <w:r w:rsidR="00E21CB5">
        <w:rPr>
          <w:rFonts w:ascii="Times New Roman" w:eastAsia="Times New Roman" w:hAnsi="Times New Roman" w:cs="Times New Roman"/>
          <w:b/>
          <w:sz w:val="24"/>
          <w:szCs w:val="24"/>
        </w:rPr>
        <w:t>, 2015</w:t>
      </w:r>
    </w:p>
    <w:p w:rsidR="00DE1C90" w:rsidRDefault="00DE1C90" w:rsidP="00DE1C90">
      <w:pPr>
        <w:spacing w:before="100" w:beforeAutospacing="1" w:after="100" w:afterAutospacing="1" w:line="240" w:lineRule="auto"/>
        <w:ind w:left="360"/>
        <w:contextualSpacing/>
        <w:rPr>
          <w:rFonts w:ascii="Times New Roman" w:eastAsia="Times New Roman" w:hAnsi="Times New Roman" w:cs="Times New Roman"/>
          <w:b/>
          <w:sz w:val="24"/>
          <w:szCs w:val="24"/>
        </w:rPr>
      </w:pPr>
    </w:p>
    <w:p w:rsidR="00DE1C90" w:rsidRDefault="00DE1C90" w:rsidP="00E47002">
      <w:pPr>
        <w:spacing w:before="100" w:beforeAutospacing="1" w:after="100" w:afterAutospacing="1" w:line="48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Synthesis </w:t>
      </w:r>
      <w:proofErr w:type="gramStart"/>
      <w:r>
        <w:rPr>
          <w:rFonts w:ascii="Times New Roman" w:eastAsia="Times New Roman" w:hAnsi="Times New Roman" w:cs="Times New Roman"/>
          <w:b/>
          <w:sz w:val="24"/>
          <w:szCs w:val="24"/>
        </w:rPr>
        <w:t>for  Essay</w:t>
      </w:r>
      <w:proofErr w:type="gramEnd"/>
      <w:r>
        <w:rPr>
          <w:rFonts w:ascii="Times New Roman" w:eastAsia="Times New Roman" w:hAnsi="Times New Roman" w:cs="Times New Roman"/>
          <w:b/>
          <w:sz w:val="24"/>
          <w:szCs w:val="24"/>
        </w:rPr>
        <w:t xml:space="preserve"> on Paying College Athletes</w:t>
      </w:r>
    </w:p>
    <w:p w:rsidR="00DE1C90" w:rsidRDefault="00DE1C90" w:rsidP="00E47002">
      <w:pPr>
        <w:spacing w:before="100" w:beforeAutospacing="1" w:after="100" w:afterAutospacing="1" w:line="480" w:lineRule="auto"/>
        <w:ind w:left="360"/>
        <w:contextualSpacing/>
        <w:jc w:val="center"/>
        <w:rPr>
          <w:rFonts w:ascii="Times New Roman" w:eastAsia="Times New Roman" w:hAnsi="Times New Roman" w:cs="Times New Roman"/>
          <w:b/>
          <w:sz w:val="24"/>
          <w:szCs w:val="24"/>
        </w:rPr>
      </w:pPr>
    </w:p>
    <w:p w:rsidR="00C32AB2"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Edelman, Marc.  “The Case for Paying College Athletes,” </w:t>
      </w:r>
      <w:r>
        <w:rPr>
          <w:rFonts w:ascii="Times New Roman" w:eastAsia="Times New Roman" w:hAnsi="Times New Roman" w:cs="Times New Roman"/>
          <w:i/>
          <w:sz w:val="24"/>
          <w:szCs w:val="24"/>
        </w:rPr>
        <w:t>US News and World Report</w:t>
      </w:r>
      <w:r>
        <w:rPr>
          <w:rFonts w:ascii="Times New Roman" w:eastAsia="Times New Roman" w:hAnsi="Times New Roman" w:cs="Times New Roman"/>
          <w:sz w:val="24"/>
          <w:szCs w:val="24"/>
        </w:rPr>
        <w:t>,</w:t>
      </w:r>
    </w:p>
    <w:p w:rsidR="00C32AB2" w:rsidRPr="00C32AB2"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14 January 2014.  Web.  22 March 2014</w:t>
      </w:r>
    </w:p>
    <w:p w:rsidR="00DE1C90"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M. </w:t>
      </w:r>
      <w:r w:rsidR="00DE1C90">
        <w:rPr>
          <w:rFonts w:ascii="Times New Roman" w:eastAsia="Times New Roman" w:hAnsi="Times New Roman" w:cs="Times New Roman"/>
          <w:sz w:val="24"/>
          <w:szCs w:val="24"/>
        </w:rPr>
        <w:t xml:space="preserve">  </w:t>
      </w:r>
      <w:proofErr w:type="spellStart"/>
      <w:r w:rsidR="00DE1C90">
        <w:rPr>
          <w:rFonts w:ascii="Times New Roman" w:eastAsia="Times New Roman" w:hAnsi="Times New Roman" w:cs="Times New Roman"/>
          <w:i/>
          <w:sz w:val="24"/>
          <w:szCs w:val="24"/>
        </w:rPr>
        <w:t>Moneyball</w:t>
      </w:r>
      <w:proofErr w:type="spellEnd"/>
      <w:r w:rsidR="00DE1C90">
        <w:rPr>
          <w:rFonts w:ascii="Times New Roman" w:eastAsia="Times New Roman" w:hAnsi="Times New Roman" w:cs="Times New Roman"/>
          <w:i/>
          <w:sz w:val="24"/>
          <w:szCs w:val="24"/>
        </w:rPr>
        <w:t>: The art of winning an unfair game.</w:t>
      </w:r>
      <w:r w:rsidR="00DE1C90">
        <w:rPr>
          <w:rFonts w:ascii="Times New Roman" w:eastAsia="Times New Roman" w:hAnsi="Times New Roman" w:cs="Times New Roman"/>
          <w:sz w:val="24"/>
          <w:szCs w:val="24"/>
        </w:rPr>
        <w:t xml:space="preserve"> New York, NY:</w:t>
      </w:r>
    </w:p>
    <w:p w:rsidR="00DE1C90"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Norton. </w:t>
      </w:r>
      <w:proofErr w:type="gramStart"/>
      <w:r>
        <w:rPr>
          <w:rFonts w:ascii="Times New Roman" w:eastAsia="Times New Roman" w:hAnsi="Times New Roman" w:cs="Times New Roman"/>
          <w:sz w:val="24"/>
          <w:szCs w:val="24"/>
        </w:rPr>
        <w:t>2003  Print</w:t>
      </w:r>
      <w:proofErr w:type="gramEnd"/>
      <w:r>
        <w:rPr>
          <w:rFonts w:ascii="Times New Roman" w:eastAsia="Times New Roman" w:hAnsi="Times New Roman" w:cs="Times New Roman"/>
          <w:sz w:val="24"/>
          <w:szCs w:val="24"/>
        </w:rPr>
        <w:t>.</w:t>
      </w:r>
    </w:p>
    <w:p w:rsidR="00C32AB2"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p>
    <w:p w:rsidR="00C32AB2" w:rsidRDefault="00C32AB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idea of paying college athletes is not a new one, but it is one that is back</w:t>
      </w:r>
      <w:r w:rsidR="00C315EA">
        <w:rPr>
          <w:rFonts w:ascii="Times New Roman" w:eastAsia="Times New Roman" w:hAnsi="Times New Roman" w:cs="Times New Roman"/>
          <w:sz w:val="24"/>
          <w:szCs w:val="24"/>
        </w:rPr>
        <w:t xml:space="preserve"> in the news now and once again</w:t>
      </w:r>
      <w:r>
        <w:rPr>
          <w:rFonts w:ascii="Times New Roman" w:eastAsia="Times New Roman" w:hAnsi="Times New Roman" w:cs="Times New Roman"/>
          <w:sz w:val="24"/>
          <w:szCs w:val="24"/>
        </w:rPr>
        <w:t xml:space="preserve"> debated due to the NCAA Basketball tournament activity in March and April.  </w:t>
      </w:r>
      <w:r w:rsidR="00E47002">
        <w:rPr>
          <w:rFonts w:ascii="Times New Roman" w:eastAsia="Times New Roman" w:hAnsi="Times New Roman" w:cs="Times New Roman"/>
          <w:sz w:val="24"/>
          <w:szCs w:val="24"/>
        </w:rPr>
        <w:t>Are scholarships enough?  Should college athletes receive monetary compensation over and above their tuition, meal plan, and the various perks that go with being a student athlete?</w:t>
      </w:r>
    </w:p>
    <w:p w:rsidR="00DE1C90" w:rsidRDefault="00E47002" w:rsidP="00E47002">
      <w:pPr>
        <w:spacing w:before="100" w:beforeAutospacing="1" w:after="100" w:afterAutospacing="1"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this is such a hotly contested debate, there is a great deal of information written both in the online and print media.  The sources I have chosen to use to support my essay conclusions all discuss this main theme, but they also demonstrate just how ineffective it would be, from a scholarly standpoint, to offer a salary to college students who also happen </w:t>
      </w:r>
      <w:proofErr w:type="gramStart"/>
      <w:r>
        <w:rPr>
          <w:rFonts w:ascii="Times New Roman" w:eastAsia="Times New Roman" w:hAnsi="Times New Roman" w:cs="Times New Roman"/>
          <w:sz w:val="24"/>
          <w:szCs w:val="24"/>
        </w:rPr>
        <w:t>to  be</w:t>
      </w:r>
      <w:proofErr w:type="gramEnd"/>
      <w:r>
        <w:rPr>
          <w:rFonts w:ascii="Times New Roman" w:eastAsia="Times New Roman" w:hAnsi="Times New Roman" w:cs="Times New Roman"/>
          <w:sz w:val="24"/>
          <w:szCs w:val="24"/>
        </w:rPr>
        <w:t xml:space="preserve"> athletes.</w:t>
      </w:r>
    </w:p>
    <w:p w:rsidR="00DE1C90" w:rsidRPr="00DE1C90" w:rsidRDefault="00DE1C90" w:rsidP="00DE1C90">
      <w:pPr>
        <w:spacing w:before="100" w:beforeAutospacing="1" w:after="100" w:afterAutospacing="1" w:line="240" w:lineRule="auto"/>
        <w:ind w:left="360"/>
        <w:rPr>
          <w:rFonts w:ascii="Times New Roman" w:eastAsia="Times New Roman" w:hAnsi="Times New Roman" w:cs="Times New Roman"/>
          <w:sz w:val="24"/>
          <w:szCs w:val="24"/>
        </w:rPr>
      </w:pPr>
    </w:p>
    <w:sectPr w:rsidR="00DE1C90" w:rsidRPr="00DE1C90" w:rsidSect="00DE1C9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5520"/>
    <w:multiLevelType w:val="multilevel"/>
    <w:tmpl w:val="D1D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C5EB5"/>
    <w:multiLevelType w:val="hybridMultilevel"/>
    <w:tmpl w:val="38580CD6"/>
    <w:lvl w:ilvl="0" w:tplc="CD32AF82">
      <w:start w:val="1"/>
      <w:numFmt w:val="bullet"/>
      <w:lvlText w:val=""/>
      <w:lvlJc w:val="left"/>
      <w:pPr>
        <w:ind w:left="840" w:hanging="360"/>
      </w:pPr>
      <w:rPr>
        <w:rFonts w:ascii="Symbol" w:eastAsia="Symbol" w:hAnsi="Symbol" w:hint="default"/>
        <w:w w:val="99"/>
        <w:sz w:val="20"/>
        <w:szCs w:val="20"/>
      </w:rPr>
    </w:lvl>
    <w:lvl w:ilvl="1" w:tplc="99D86C66">
      <w:start w:val="1"/>
      <w:numFmt w:val="bullet"/>
      <w:lvlText w:val="•"/>
      <w:lvlJc w:val="left"/>
      <w:pPr>
        <w:ind w:left="1716" w:hanging="360"/>
      </w:pPr>
      <w:rPr>
        <w:rFonts w:hint="default"/>
      </w:rPr>
    </w:lvl>
    <w:lvl w:ilvl="2" w:tplc="1A44F088">
      <w:start w:val="1"/>
      <w:numFmt w:val="bullet"/>
      <w:lvlText w:val="•"/>
      <w:lvlJc w:val="left"/>
      <w:pPr>
        <w:ind w:left="2592" w:hanging="360"/>
      </w:pPr>
      <w:rPr>
        <w:rFonts w:hint="default"/>
      </w:rPr>
    </w:lvl>
    <w:lvl w:ilvl="3" w:tplc="35C08C42">
      <w:start w:val="1"/>
      <w:numFmt w:val="bullet"/>
      <w:lvlText w:val="•"/>
      <w:lvlJc w:val="left"/>
      <w:pPr>
        <w:ind w:left="3468" w:hanging="360"/>
      </w:pPr>
      <w:rPr>
        <w:rFonts w:hint="default"/>
      </w:rPr>
    </w:lvl>
    <w:lvl w:ilvl="4" w:tplc="2A5ED4D6">
      <w:start w:val="1"/>
      <w:numFmt w:val="bullet"/>
      <w:lvlText w:val="•"/>
      <w:lvlJc w:val="left"/>
      <w:pPr>
        <w:ind w:left="4344" w:hanging="360"/>
      </w:pPr>
      <w:rPr>
        <w:rFonts w:hint="default"/>
      </w:rPr>
    </w:lvl>
    <w:lvl w:ilvl="5" w:tplc="9D6A5440">
      <w:start w:val="1"/>
      <w:numFmt w:val="bullet"/>
      <w:lvlText w:val="•"/>
      <w:lvlJc w:val="left"/>
      <w:pPr>
        <w:ind w:left="5220" w:hanging="360"/>
      </w:pPr>
      <w:rPr>
        <w:rFonts w:hint="default"/>
      </w:rPr>
    </w:lvl>
    <w:lvl w:ilvl="6" w:tplc="AFD2BB10">
      <w:start w:val="1"/>
      <w:numFmt w:val="bullet"/>
      <w:lvlText w:val="•"/>
      <w:lvlJc w:val="left"/>
      <w:pPr>
        <w:ind w:left="6096" w:hanging="360"/>
      </w:pPr>
      <w:rPr>
        <w:rFonts w:hint="default"/>
      </w:rPr>
    </w:lvl>
    <w:lvl w:ilvl="7" w:tplc="C5A02BF0">
      <w:start w:val="1"/>
      <w:numFmt w:val="bullet"/>
      <w:lvlText w:val="•"/>
      <w:lvlJc w:val="left"/>
      <w:pPr>
        <w:ind w:left="6972" w:hanging="360"/>
      </w:pPr>
      <w:rPr>
        <w:rFonts w:hint="default"/>
      </w:rPr>
    </w:lvl>
    <w:lvl w:ilvl="8" w:tplc="047C63DE">
      <w:start w:val="1"/>
      <w:numFmt w:val="bullet"/>
      <w:lvlText w:val="•"/>
      <w:lvlJc w:val="left"/>
      <w:pPr>
        <w:ind w:left="784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CC"/>
    <w:rsid w:val="0040074A"/>
    <w:rsid w:val="007C5945"/>
    <w:rsid w:val="00A4523F"/>
    <w:rsid w:val="00B129CC"/>
    <w:rsid w:val="00BE26D6"/>
    <w:rsid w:val="00C315EA"/>
    <w:rsid w:val="00C32AB2"/>
    <w:rsid w:val="00DE1C90"/>
    <w:rsid w:val="00E21CB5"/>
    <w:rsid w:val="00E47002"/>
    <w:rsid w:val="00EB5F1D"/>
    <w:rsid w:val="00F80D80"/>
    <w:rsid w:val="00F866FA"/>
    <w:rsid w:val="00FA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4E8ED-32E9-4CBF-A9C7-468E0822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29CC"/>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29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Loaner</dc:creator>
  <cp:lastModifiedBy>Shoop, Deborah</cp:lastModifiedBy>
  <cp:revision>2</cp:revision>
  <dcterms:created xsi:type="dcterms:W3CDTF">2014-11-25T15:37:00Z</dcterms:created>
  <dcterms:modified xsi:type="dcterms:W3CDTF">2014-11-25T15:37:00Z</dcterms:modified>
</cp:coreProperties>
</file>