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43" w:rsidRDefault="00ED7643" w:rsidP="00ED7643">
      <w:r>
        <w:t>Morse</w:t>
      </w:r>
    </w:p>
    <w:p w:rsidR="00ED7643" w:rsidRPr="00ED7643" w:rsidRDefault="00ED7643">
      <w:pPr>
        <w:rPr>
          <w:u w:val="single"/>
        </w:rPr>
      </w:pPr>
      <w:r w:rsidRPr="00ED7643">
        <w:rPr>
          <w:u w:val="single"/>
        </w:rPr>
        <w:t>Thinking about Audience and Rhetorical Strategies</w:t>
      </w:r>
      <w:r>
        <w:rPr>
          <w:u w:val="single"/>
        </w:rPr>
        <w:tab/>
      </w:r>
      <w:r>
        <w:rPr>
          <w:u w:val="single"/>
        </w:rPr>
        <w:tab/>
      </w:r>
      <w:r>
        <w:rPr>
          <w:u w:val="single"/>
        </w:rPr>
        <w:tab/>
      </w:r>
      <w:r>
        <w:rPr>
          <w:u w:val="single"/>
        </w:rPr>
        <w:tab/>
      </w:r>
      <w:r>
        <w:rPr>
          <w:u w:val="single"/>
        </w:rPr>
        <w:tab/>
      </w:r>
      <w:r>
        <w:rPr>
          <w:u w:val="single"/>
        </w:rPr>
        <w:tab/>
      </w:r>
      <w:r>
        <w:rPr>
          <w:u w:val="single"/>
        </w:rPr>
        <w:tab/>
      </w:r>
    </w:p>
    <w:p w:rsidR="00ED7643" w:rsidRDefault="00ED7643"/>
    <w:p w:rsidR="00ED7643" w:rsidRPr="00ED7643" w:rsidRDefault="00ED7643">
      <w:pPr>
        <w:rPr>
          <w:b/>
        </w:rPr>
      </w:pPr>
      <w:r w:rsidRPr="00ED7643">
        <w:rPr>
          <w:b/>
        </w:rPr>
        <w:t>What to do.</w:t>
      </w:r>
    </w:p>
    <w:p w:rsidR="00ED7643" w:rsidRDefault="00ED7643">
      <w:r>
        <w:t>1. Get in groups of 4-5 students.</w:t>
      </w:r>
    </w:p>
    <w:p w:rsidR="00ED7643" w:rsidRDefault="00ED7643"/>
    <w:p w:rsidR="00ED7643" w:rsidRDefault="00ED7643">
      <w:r>
        <w:t>2. Each group will select a number card and a letter card. Each number corresponds to a topic listed below and each letter corresponds to an audience listed below.</w:t>
      </w:r>
    </w:p>
    <w:p w:rsidR="00ED7643" w:rsidRDefault="00ED7643"/>
    <w:p w:rsidR="00ED7643" w:rsidRDefault="00ED7643">
      <w:r>
        <w:t xml:space="preserve">3. Create an argument on the topic selected to the audience selected using appropriate rhetorical strategies that would best fulfill </w:t>
      </w:r>
      <w:r w:rsidR="00D258A1">
        <w:t>the</w:t>
      </w:r>
      <w:r>
        <w:t xml:space="preserve"> purpose</w:t>
      </w:r>
      <w:r w:rsidR="00D258A1">
        <w:t xml:space="preserve"> your group decides on</w:t>
      </w:r>
      <w:r>
        <w:t xml:space="preserve"> and persuade that </w:t>
      </w:r>
      <w:r w:rsidR="00DC5286">
        <w:t xml:space="preserve">selected </w:t>
      </w:r>
      <w:r>
        <w:t>audience.</w:t>
      </w:r>
    </w:p>
    <w:p w:rsidR="00ED7643" w:rsidRDefault="00ED7643"/>
    <w:p w:rsidR="00ED7643" w:rsidRDefault="00ED7643"/>
    <w:p w:rsidR="00ED7643" w:rsidRDefault="00ED7643">
      <w:r>
        <w:rPr>
          <w:b/>
        </w:rPr>
        <w:t>Guidelines.</w:t>
      </w:r>
    </w:p>
    <w:p w:rsidR="00D258A1" w:rsidRDefault="00ED7643" w:rsidP="00D258A1">
      <w:r>
        <w:t>Your group will work collaboratively to create an argument that fits on one sheet of paper, or the equivalent</w:t>
      </w:r>
      <w:r w:rsidR="00DC5286">
        <w:t xml:space="preserve"> (front and back is okay)</w:t>
      </w:r>
      <w:r>
        <w:t>. You will need to use textual</w:t>
      </w:r>
      <w:r w:rsidR="00DC5286">
        <w:t xml:space="preserve"> (about a paragraph or equivalent)</w:t>
      </w:r>
      <w:r>
        <w:t xml:space="preserve"> and visual information. Think about </w:t>
      </w:r>
      <w:r w:rsidR="00D258A1">
        <w:t>types of evidence you can use</w:t>
      </w:r>
      <w:r w:rsidR="00D258A1" w:rsidRPr="00D258A1">
        <w:t xml:space="preserve"> </w:t>
      </w:r>
      <w:r w:rsidR="00D258A1">
        <w:t xml:space="preserve">that would appeal to your audience. Your argument should include a clear choice of inductive or deductive reasoning and rhetorical appeals that would be most effective for your rhetorical situation. Think about the readings for today and how ethos can be conveyed to your audience. </w:t>
      </w:r>
    </w:p>
    <w:p w:rsidR="00DC5286" w:rsidRDefault="00DC5286" w:rsidP="00D258A1"/>
    <w:p w:rsidR="00DC5286" w:rsidRDefault="00DC5286" w:rsidP="00D258A1">
      <w:r>
        <w:t>Steps you may need to take:</w:t>
      </w:r>
    </w:p>
    <w:p w:rsidR="00DC5286" w:rsidRDefault="00DC5286" w:rsidP="00DC5286">
      <w:pPr>
        <w:pStyle w:val="ListParagraph"/>
        <w:numPr>
          <w:ilvl w:val="0"/>
          <w:numId w:val="1"/>
        </w:numPr>
      </w:pPr>
      <w:r>
        <w:t>Find out what your group knows about the topic and determine a specific purpose/argument</w:t>
      </w:r>
    </w:p>
    <w:p w:rsidR="00DC5286" w:rsidRDefault="00DC5286" w:rsidP="00DC5286">
      <w:pPr>
        <w:pStyle w:val="ListParagraph"/>
        <w:numPr>
          <w:ilvl w:val="0"/>
          <w:numId w:val="1"/>
        </w:numPr>
      </w:pPr>
      <w:r>
        <w:t>Find out what your group knows about the given audience</w:t>
      </w:r>
    </w:p>
    <w:p w:rsidR="00DC5286" w:rsidRDefault="00DC5286" w:rsidP="00DC5286">
      <w:pPr>
        <w:pStyle w:val="ListParagraph"/>
        <w:numPr>
          <w:ilvl w:val="0"/>
          <w:numId w:val="1"/>
        </w:numPr>
      </w:pPr>
      <w:r>
        <w:t>Explore possibilities of sources that may provide you evidence</w:t>
      </w:r>
    </w:p>
    <w:p w:rsidR="00DC5286" w:rsidRDefault="00DC5286" w:rsidP="00DC5286">
      <w:pPr>
        <w:pStyle w:val="ListParagraph"/>
        <w:numPr>
          <w:ilvl w:val="0"/>
          <w:numId w:val="1"/>
        </w:numPr>
      </w:pPr>
      <w:r>
        <w:t>Draft your group’s argument</w:t>
      </w:r>
    </w:p>
    <w:p w:rsidR="00D258A1" w:rsidRDefault="00D258A1"/>
    <w:p w:rsidR="0056388F" w:rsidRDefault="0056388F"/>
    <w:p w:rsidR="0056388F" w:rsidRDefault="0056388F" w:rsidP="0056388F">
      <w:r>
        <w:rPr>
          <w:b/>
        </w:rPr>
        <w:t>Report back.</w:t>
      </w:r>
    </w:p>
    <w:p w:rsidR="0056388F" w:rsidRPr="0056388F" w:rsidRDefault="0056388F" w:rsidP="0056388F">
      <w:r>
        <w:t>Post your group’s work to the appropriate Discussion Board forum. Select a spokesperson to share your group’s argument and why your group made the rhetorical choices it did.</w:t>
      </w:r>
    </w:p>
    <w:p w:rsidR="00D258A1" w:rsidRDefault="00D258A1"/>
    <w:p w:rsidR="0056388F" w:rsidRDefault="0056388F"/>
    <w:tbl>
      <w:tblPr>
        <w:tblStyle w:val="TableGrid"/>
        <w:tblW w:w="0" w:type="auto"/>
        <w:jc w:val="center"/>
        <w:tblLook w:val="04A0" w:firstRow="1" w:lastRow="0" w:firstColumn="1" w:lastColumn="0" w:noHBand="0" w:noVBand="1"/>
      </w:tblPr>
      <w:tblGrid>
        <w:gridCol w:w="3462"/>
        <w:gridCol w:w="3463"/>
      </w:tblGrid>
      <w:tr w:rsidR="00D258A1" w:rsidRPr="00D258A1" w:rsidTr="00D258A1">
        <w:trPr>
          <w:jc w:val="center"/>
        </w:trPr>
        <w:tc>
          <w:tcPr>
            <w:tcW w:w="3462" w:type="dxa"/>
            <w:shd w:val="clear" w:color="auto" w:fill="FFE599" w:themeFill="accent4" w:themeFillTint="66"/>
          </w:tcPr>
          <w:p w:rsidR="00D258A1" w:rsidRPr="00D258A1" w:rsidRDefault="00D258A1">
            <w:pPr>
              <w:rPr>
                <w:rFonts w:asciiTheme="minorHAnsi" w:hAnsiTheme="minorHAnsi"/>
                <w:sz w:val="28"/>
              </w:rPr>
            </w:pPr>
            <w:r w:rsidRPr="00D258A1">
              <w:rPr>
                <w:rFonts w:asciiTheme="minorHAnsi" w:hAnsiTheme="minorHAnsi"/>
                <w:sz w:val="28"/>
              </w:rPr>
              <w:t>Topics</w:t>
            </w:r>
          </w:p>
        </w:tc>
        <w:tc>
          <w:tcPr>
            <w:tcW w:w="3463" w:type="dxa"/>
            <w:shd w:val="clear" w:color="auto" w:fill="FFE599" w:themeFill="accent4" w:themeFillTint="66"/>
          </w:tcPr>
          <w:p w:rsidR="00D258A1" w:rsidRPr="00D258A1" w:rsidRDefault="00D258A1">
            <w:pPr>
              <w:rPr>
                <w:rFonts w:asciiTheme="minorHAnsi" w:hAnsiTheme="minorHAnsi"/>
                <w:sz w:val="28"/>
              </w:rPr>
            </w:pPr>
            <w:r w:rsidRPr="00D258A1">
              <w:rPr>
                <w:rFonts w:asciiTheme="minorHAnsi" w:hAnsiTheme="minorHAnsi"/>
                <w:sz w:val="28"/>
              </w:rPr>
              <w:t>Audience</w:t>
            </w:r>
          </w:p>
        </w:tc>
      </w:tr>
      <w:tr w:rsidR="00D258A1" w:rsidRPr="00D258A1" w:rsidTr="00D258A1">
        <w:trPr>
          <w:jc w:val="center"/>
        </w:trPr>
        <w:tc>
          <w:tcPr>
            <w:tcW w:w="3462" w:type="dxa"/>
          </w:tcPr>
          <w:p w:rsidR="00D258A1" w:rsidRPr="00D258A1" w:rsidRDefault="00D258A1">
            <w:pPr>
              <w:rPr>
                <w:rFonts w:asciiTheme="minorHAnsi" w:hAnsiTheme="minorHAnsi"/>
                <w:sz w:val="28"/>
              </w:rPr>
            </w:pPr>
            <w:r w:rsidRPr="00D258A1">
              <w:rPr>
                <w:rFonts w:asciiTheme="minorHAnsi" w:hAnsiTheme="minorHAnsi"/>
                <w:sz w:val="28"/>
              </w:rPr>
              <w:t>1. Online Bullying</w:t>
            </w:r>
          </w:p>
        </w:tc>
        <w:tc>
          <w:tcPr>
            <w:tcW w:w="3463" w:type="dxa"/>
          </w:tcPr>
          <w:p w:rsidR="00D258A1" w:rsidRPr="00D258A1" w:rsidRDefault="00D258A1">
            <w:pPr>
              <w:rPr>
                <w:rFonts w:asciiTheme="minorHAnsi" w:hAnsiTheme="minorHAnsi"/>
                <w:sz w:val="28"/>
              </w:rPr>
            </w:pPr>
            <w:r w:rsidRPr="00D258A1">
              <w:rPr>
                <w:rFonts w:asciiTheme="minorHAnsi" w:hAnsiTheme="minorHAnsi"/>
                <w:sz w:val="28"/>
              </w:rPr>
              <w:t>A. Children under 12</w:t>
            </w:r>
          </w:p>
        </w:tc>
      </w:tr>
      <w:tr w:rsidR="00D258A1" w:rsidRPr="00D258A1" w:rsidTr="00D258A1">
        <w:trPr>
          <w:jc w:val="center"/>
        </w:trPr>
        <w:tc>
          <w:tcPr>
            <w:tcW w:w="3462" w:type="dxa"/>
          </w:tcPr>
          <w:p w:rsidR="00D258A1" w:rsidRPr="00D258A1" w:rsidRDefault="00D258A1">
            <w:pPr>
              <w:rPr>
                <w:rFonts w:asciiTheme="minorHAnsi" w:hAnsiTheme="minorHAnsi"/>
                <w:sz w:val="28"/>
              </w:rPr>
            </w:pPr>
            <w:r w:rsidRPr="00D258A1">
              <w:rPr>
                <w:rFonts w:asciiTheme="minorHAnsi" w:hAnsiTheme="minorHAnsi"/>
                <w:sz w:val="28"/>
              </w:rPr>
              <w:t>2. Nutrition</w:t>
            </w:r>
          </w:p>
        </w:tc>
        <w:tc>
          <w:tcPr>
            <w:tcW w:w="3463" w:type="dxa"/>
          </w:tcPr>
          <w:p w:rsidR="00D258A1" w:rsidRPr="00D258A1" w:rsidRDefault="00D258A1">
            <w:pPr>
              <w:rPr>
                <w:rFonts w:asciiTheme="minorHAnsi" w:hAnsiTheme="minorHAnsi"/>
                <w:sz w:val="28"/>
              </w:rPr>
            </w:pPr>
            <w:r w:rsidRPr="00D258A1">
              <w:rPr>
                <w:rFonts w:asciiTheme="minorHAnsi" w:hAnsiTheme="minorHAnsi"/>
                <w:sz w:val="28"/>
              </w:rPr>
              <w:t>B. Youth (13-18)</w:t>
            </w:r>
          </w:p>
        </w:tc>
      </w:tr>
      <w:tr w:rsidR="00D258A1" w:rsidRPr="00D258A1" w:rsidTr="00D258A1">
        <w:trPr>
          <w:jc w:val="center"/>
        </w:trPr>
        <w:tc>
          <w:tcPr>
            <w:tcW w:w="3462" w:type="dxa"/>
          </w:tcPr>
          <w:p w:rsidR="00D258A1" w:rsidRPr="00D258A1" w:rsidRDefault="00D258A1">
            <w:pPr>
              <w:rPr>
                <w:rFonts w:asciiTheme="minorHAnsi" w:hAnsiTheme="minorHAnsi"/>
                <w:sz w:val="28"/>
              </w:rPr>
            </w:pPr>
            <w:r w:rsidRPr="00D258A1">
              <w:rPr>
                <w:rFonts w:asciiTheme="minorHAnsi" w:hAnsiTheme="minorHAnsi"/>
                <w:sz w:val="28"/>
              </w:rPr>
              <w:t>3. Stress</w:t>
            </w:r>
          </w:p>
        </w:tc>
        <w:tc>
          <w:tcPr>
            <w:tcW w:w="3463" w:type="dxa"/>
          </w:tcPr>
          <w:p w:rsidR="00D258A1" w:rsidRPr="00D258A1" w:rsidRDefault="00D258A1">
            <w:pPr>
              <w:rPr>
                <w:rFonts w:asciiTheme="minorHAnsi" w:hAnsiTheme="minorHAnsi"/>
                <w:sz w:val="28"/>
              </w:rPr>
            </w:pPr>
            <w:r w:rsidRPr="00D258A1">
              <w:rPr>
                <w:rFonts w:asciiTheme="minorHAnsi" w:hAnsiTheme="minorHAnsi"/>
                <w:sz w:val="28"/>
              </w:rPr>
              <w:t>C. College Students (19-25)</w:t>
            </w:r>
          </w:p>
        </w:tc>
      </w:tr>
      <w:tr w:rsidR="00D258A1" w:rsidRPr="00D258A1" w:rsidTr="00D258A1">
        <w:trPr>
          <w:jc w:val="center"/>
        </w:trPr>
        <w:tc>
          <w:tcPr>
            <w:tcW w:w="3462" w:type="dxa"/>
          </w:tcPr>
          <w:p w:rsidR="00D258A1" w:rsidRPr="00D258A1" w:rsidRDefault="00D258A1">
            <w:pPr>
              <w:rPr>
                <w:rFonts w:asciiTheme="minorHAnsi" w:hAnsiTheme="minorHAnsi"/>
                <w:sz w:val="28"/>
              </w:rPr>
            </w:pPr>
            <w:r w:rsidRPr="00D258A1">
              <w:rPr>
                <w:rFonts w:asciiTheme="minorHAnsi" w:hAnsiTheme="minorHAnsi"/>
                <w:sz w:val="28"/>
              </w:rPr>
              <w:t>4. Personal Finance</w:t>
            </w:r>
          </w:p>
        </w:tc>
        <w:tc>
          <w:tcPr>
            <w:tcW w:w="3463" w:type="dxa"/>
          </w:tcPr>
          <w:p w:rsidR="00D258A1" w:rsidRPr="00D258A1" w:rsidRDefault="00D258A1">
            <w:pPr>
              <w:rPr>
                <w:rFonts w:asciiTheme="minorHAnsi" w:hAnsiTheme="minorHAnsi"/>
                <w:sz w:val="28"/>
              </w:rPr>
            </w:pPr>
            <w:r w:rsidRPr="00D258A1">
              <w:rPr>
                <w:rFonts w:asciiTheme="minorHAnsi" w:hAnsiTheme="minorHAnsi"/>
                <w:sz w:val="28"/>
              </w:rPr>
              <w:t>D. Adults (26-45)</w:t>
            </w:r>
          </w:p>
        </w:tc>
      </w:tr>
      <w:tr w:rsidR="00D258A1" w:rsidRPr="00D258A1" w:rsidTr="00D258A1">
        <w:trPr>
          <w:jc w:val="center"/>
        </w:trPr>
        <w:tc>
          <w:tcPr>
            <w:tcW w:w="3462" w:type="dxa"/>
          </w:tcPr>
          <w:p w:rsidR="00D258A1" w:rsidRPr="00D258A1" w:rsidRDefault="00D258A1">
            <w:pPr>
              <w:rPr>
                <w:rFonts w:asciiTheme="minorHAnsi" w:hAnsiTheme="minorHAnsi"/>
                <w:sz w:val="28"/>
              </w:rPr>
            </w:pPr>
            <w:r w:rsidRPr="00D258A1">
              <w:rPr>
                <w:rFonts w:asciiTheme="minorHAnsi" w:hAnsiTheme="minorHAnsi"/>
                <w:sz w:val="28"/>
              </w:rPr>
              <w:t>5. Personal Safety</w:t>
            </w:r>
          </w:p>
        </w:tc>
        <w:tc>
          <w:tcPr>
            <w:tcW w:w="3463" w:type="dxa"/>
          </w:tcPr>
          <w:p w:rsidR="00D258A1" w:rsidRPr="00D258A1" w:rsidRDefault="00D258A1">
            <w:pPr>
              <w:rPr>
                <w:rFonts w:asciiTheme="minorHAnsi" w:hAnsiTheme="minorHAnsi"/>
                <w:sz w:val="28"/>
              </w:rPr>
            </w:pPr>
            <w:r w:rsidRPr="00D258A1">
              <w:rPr>
                <w:rFonts w:asciiTheme="minorHAnsi" w:hAnsiTheme="minorHAnsi"/>
                <w:sz w:val="28"/>
              </w:rPr>
              <w:t>E. Adults (45-65</w:t>
            </w:r>
            <w:r w:rsidR="000B17CF">
              <w:rPr>
                <w:rFonts w:asciiTheme="minorHAnsi" w:hAnsiTheme="minorHAnsi"/>
                <w:sz w:val="28"/>
              </w:rPr>
              <w:t>)</w:t>
            </w:r>
          </w:p>
        </w:tc>
      </w:tr>
      <w:tr w:rsidR="00D258A1" w:rsidRPr="00D258A1" w:rsidTr="00D258A1">
        <w:trPr>
          <w:jc w:val="center"/>
        </w:trPr>
        <w:tc>
          <w:tcPr>
            <w:tcW w:w="3462" w:type="dxa"/>
          </w:tcPr>
          <w:p w:rsidR="00D258A1" w:rsidRPr="00D258A1" w:rsidRDefault="00D258A1">
            <w:pPr>
              <w:rPr>
                <w:rFonts w:asciiTheme="minorHAnsi" w:hAnsiTheme="minorHAnsi"/>
                <w:sz w:val="28"/>
              </w:rPr>
            </w:pPr>
            <w:r w:rsidRPr="00D258A1">
              <w:rPr>
                <w:rFonts w:asciiTheme="minorHAnsi" w:hAnsiTheme="minorHAnsi"/>
                <w:sz w:val="28"/>
              </w:rPr>
              <w:t>6. Drinking</w:t>
            </w:r>
          </w:p>
        </w:tc>
        <w:tc>
          <w:tcPr>
            <w:tcW w:w="3463" w:type="dxa"/>
          </w:tcPr>
          <w:p w:rsidR="00D258A1" w:rsidRPr="00D258A1" w:rsidRDefault="00D258A1">
            <w:pPr>
              <w:rPr>
                <w:rFonts w:asciiTheme="minorHAnsi" w:hAnsiTheme="minorHAnsi"/>
                <w:sz w:val="28"/>
              </w:rPr>
            </w:pPr>
            <w:r w:rsidRPr="00D258A1">
              <w:rPr>
                <w:rFonts w:asciiTheme="minorHAnsi" w:hAnsiTheme="minorHAnsi"/>
                <w:sz w:val="28"/>
              </w:rPr>
              <w:t>F. Senior Citizen</w:t>
            </w:r>
            <w:r w:rsidR="00BA0B6F">
              <w:rPr>
                <w:rFonts w:asciiTheme="minorHAnsi" w:hAnsiTheme="minorHAnsi"/>
                <w:sz w:val="28"/>
              </w:rPr>
              <w:t>s</w:t>
            </w:r>
            <w:bookmarkStart w:id="0" w:name="_GoBack"/>
            <w:bookmarkEnd w:id="0"/>
            <w:r w:rsidRPr="00D258A1">
              <w:rPr>
                <w:rFonts w:asciiTheme="minorHAnsi" w:hAnsiTheme="minorHAnsi"/>
                <w:sz w:val="28"/>
              </w:rPr>
              <w:t xml:space="preserve"> (65+)</w:t>
            </w:r>
          </w:p>
        </w:tc>
      </w:tr>
    </w:tbl>
    <w:p w:rsidR="0056388F" w:rsidRPr="0056388F" w:rsidRDefault="0056388F"/>
    <w:sectPr w:rsidR="0056388F" w:rsidRPr="005638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C7" w:rsidRDefault="001E45C7" w:rsidP="00DC5286">
      <w:r>
        <w:separator/>
      </w:r>
    </w:p>
  </w:endnote>
  <w:endnote w:type="continuationSeparator" w:id="0">
    <w:p w:rsidR="001E45C7" w:rsidRDefault="001E45C7" w:rsidP="00DC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286" w:rsidRPr="00DC5286" w:rsidRDefault="00DC5286">
    <w:pPr>
      <w:pStyle w:val="Footer"/>
      <w:rPr>
        <w:i/>
        <w:sz w:val="20"/>
      </w:rPr>
    </w:pPr>
    <w:r w:rsidRPr="00DC5286">
      <w:rPr>
        <w:i/>
        <w:sz w:val="20"/>
      </w:rPr>
      <w:t>Parts of this exercise were influenced by an activity by Celestine Davis.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C7" w:rsidRDefault="001E45C7" w:rsidP="00DC5286">
      <w:r>
        <w:separator/>
      </w:r>
    </w:p>
  </w:footnote>
  <w:footnote w:type="continuationSeparator" w:id="0">
    <w:p w:rsidR="001E45C7" w:rsidRDefault="001E45C7" w:rsidP="00DC5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05C2B"/>
    <w:multiLevelType w:val="hybridMultilevel"/>
    <w:tmpl w:val="5EEC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43"/>
    <w:rsid w:val="000B17CF"/>
    <w:rsid w:val="001E45C7"/>
    <w:rsid w:val="0056388F"/>
    <w:rsid w:val="008D3B20"/>
    <w:rsid w:val="009E1EDB"/>
    <w:rsid w:val="00BA0B6F"/>
    <w:rsid w:val="00D258A1"/>
    <w:rsid w:val="00DC5286"/>
    <w:rsid w:val="00ED7643"/>
    <w:rsid w:val="00F0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6E65F-415E-46C6-9567-2A21806D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286"/>
    <w:pPr>
      <w:ind w:left="720"/>
      <w:contextualSpacing/>
    </w:pPr>
  </w:style>
  <w:style w:type="paragraph" w:styleId="Header">
    <w:name w:val="header"/>
    <w:basedOn w:val="Normal"/>
    <w:link w:val="HeaderChar"/>
    <w:uiPriority w:val="99"/>
    <w:unhideWhenUsed/>
    <w:rsid w:val="00DC5286"/>
    <w:pPr>
      <w:tabs>
        <w:tab w:val="center" w:pos="4680"/>
        <w:tab w:val="right" w:pos="9360"/>
      </w:tabs>
    </w:pPr>
  </w:style>
  <w:style w:type="character" w:customStyle="1" w:styleId="HeaderChar">
    <w:name w:val="Header Char"/>
    <w:basedOn w:val="DefaultParagraphFont"/>
    <w:link w:val="Header"/>
    <w:uiPriority w:val="99"/>
    <w:rsid w:val="00DC5286"/>
  </w:style>
  <w:style w:type="paragraph" w:styleId="Footer">
    <w:name w:val="footer"/>
    <w:basedOn w:val="Normal"/>
    <w:link w:val="FooterChar"/>
    <w:uiPriority w:val="99"/>
    <w:unhideWhenUsed/>
    <w:rsid w:val="00DC5286"/>
    <w:pPr>
      <w:tabs>
        <w:tab w:val="center" w:pos="4680"/>
        <w:tab w:val="right" w:pos="9360"/>
      </w:tabs>
    </w:pPr>
  </w:style>
  <w:style w:type="character" w:customStyle="1" w:styleId="FooterChar">
    <w:name w:val="Footer Char"/>
    <w:basedOn w:val="DefaultParagraphFont"/>
    <w:link w:val="Footer"/>
    <w:uiPriority w:val="99"/>
    <w:rsid w:val="00DC5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Tracy</dc:creator>
  <cp:keywords/>
  <dc:description/>
  <cp:lastModifiedBy>Morse, Tracy</cp:lastModifiedBy>
  <cp:revision>5</cp:revision>
  <dcterms:created xsi:type="dcterms:W3CDTF">2017-09-28T12:06:00Z</dcterms:created>
  <dcterms:modified xsi:type="dcterms:W3CDTF">2017-09-29T14:07:00Z</dcterms:modified>
</cp:coreProperties>
</file>