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39" w:rsidRPr="008C7E8B" w:rsidRDefault="00E86F39" w:rsidP="00E86F39">
      <w:pPr>
        <w:spacing w:after="200" w:line="276" w:lineRule="auto"/>
        <w:contextualSpacing/>
        <w:jc w:val="both"/>
        <w:rPr>
          <w:rFonts w:ascii="Gisha" w:eastAsia="Times New Roman" w:hAnsi="Gisha" w:cs="Gisha"/>
          <w:b/>
          <w:sz w:val="28"/>
          <w:szCs w:val="20"/>
        </w:rPr>
      </w:pPr>
      <w:r w:rsidRPr="008C7E8B">
        <w:rPr>
          <w:rFonts w:ascii="Gisha" w:eastAsia="Times New Roman" w:hAnsi="Gisha" w:cs="Gisha"/>
          <w:b/>
          <w:sz w:val="28"/>
          <w:szCs w:val="20"/>
        </w:rPr>
        <w:t>English 2201 Writing about the Disciplines</w:t>
      </w:r>
    </w:p>
    <w:p w:rsidR="00E86F39" w:rsidRDefault="00E86F39" w:rsidP="00891FFE">
      <w:pPr>
        <w:contextualSpacing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Instruction in research-based writing in the context of academic disciplines. Analytical and argumentative writing skills for university, professional, and civic life.</w:t>
      </w:r>
    </w:p>
    <w:p w:rsidR="00E86F39" w:rsidRDefault="00E86F39" w:rsidP="00E86F39">
      <w:pPr>
        <w:spacing w:after="200" w:line="276" w:lineRule="auto"/>
        <w:ind w:left="720"/>
        <w:contextualSpacing/>
        <w:jc w:val="both"/>
        <w:rPr>
          <w:rFonts w:eastAsia="Times New Roman"/>
          <w:szCs w:val="20"/>
        </w:rPr>
      </w:pPr>
    </w:p>
    <w:p w:rsidR="00E86F39" w:rsidRPr="00E86F39" w:rsidRDefault="00E86F39" w:rsidP="00E86F3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Cs w:val="20"/>
        </w:rPr>
      </w:pPr>
      <w:r w:rsidRPr="00E86F39">
        <w:rPr>
          <w:rFonts w:eastAsia="Times New Roman"/>
          <w:szCs w:val="20"/>
        </w:rPr>
        <w:t>Recognize and explain the significance of variations in content, style, structure, and format across different writing contexts;</w:t>
      </w:r>
    </w:p>
    <w:p w:rsidR="00E86F39" w:rsidRPr="00E86F39" w:rsidRDefault="00E86F39" w:rsidP="00E86F3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Cs w:val="20"/>
        </w:rPr>
      </w:pPr>
      <w:r w:rsidRPr="00E86F39">
        <w:rPr>
          <w:rFonts w:eastAsia="Times New Roman"/>
          <w:szCs w:val="20"/>
        </w:rPr>
        <w:t>Formulate significant research questions and craft strong research proposals with feasible work plans and timelines;</w:t>
      </w:r>
    </w:p>
    <w:p w:rsidR="00E86F39" w:rsidRPr="00E86F39" w:rsidRDefault="00E86F39" w:rsidP="00E86F3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Cs w:val="20"/>
        </w:rPr>
      </w:pPr>
      <w:r w:rsidRPr="00E86F39">
        <w:rPr>
          <w:rFonts w:eastAsia="Times New Roman"/>
          <w:szCs w:val="20"/>
        </w:rPr>
        <w:t>Locate and critically evaluate a variety of sources, including field-based, print, and electronic sources;</w:t>
      </w:r>
    </w:p>
    <w:p w:rsidR="00E86F39" w:rsidRPr="00E86F39" w:rsidRDefault="00E86F39" w:rsidP="00E86F3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Cs w:val="20"/>
        </w:rPr>
      </w:pPr>
      <w:r w:rsidRPr="00E86F39">
        <w:rPr>
          <w:rFonts w:eastAsia="Times New Roman"/>
          <w:szCs w:val="20"/>
        </w:rPr>
        <w:t>Organize source materials and integrate them into your writing;</w:t>
      </w:r>
    </w:p>
    <w:p w:rsidR="00E86F39" w:rsidRPr="00E86F39" w:rsidRDefault="00E86F39" w:rsidP="00E86F3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Cs w:val="20"/>
        </w:rPr>
      </w:pPr>
      <w:r w:rsidRPr="00E86F39">
        <w:rPr>
          <w:rFonts w:eastAsia="Times New Roman"/>
          <w:szCs w:val="20"/>
        </w:rPr>
        <w:t>Apply research and use writing to achieve a variety of purposes in a variety of contexts;</w:t>
      </w:r>
    </w:p>
    <w:p w:rsidR="00E86F39" w:rsidRPr="00E86F39" w:rsidRDefault="00E86F39" w:rsidP="00E86F3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Cs w:val="20"/>
        </w:rPr>
      </w:pPr>
      <w:r w:rsidRPr="00E86F39">
        <w:rPr>
          <w:rFonts w:eastAsia="Times New Roman"/>
          <w:szCs w:val="20"/>
        </w:rPr>
        <w:t>Convey the results of research to a variety of audiences through a variety of genres and formats;</w:t>
      </w:r>
    </w:p>
    <w:p w:rsidR="00E86F39" w:rsidRPr="00E86F39" w:rsidRDefault="00E86F39" w:rsidP="00E86F3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Cs w:val="20"/>
        </w:rPr>
      </w:pPr>
      <w:r w:rsidRPr="00E86F39">
        <w:rPr>
          <w:rFonts w:eastAsia="Times New Roman"/>
          <w:szCs w:val="20"/>
        </w:rPr>
        <w:t>Use clear, appropriate language and grammar in writing about topics in different disciplinary contexts;</w:t>
      </w:r>
    </w:p>
    <w:p w:rsidR="00E86F39" w:rsidRPr="00E86F39" w:rsidRDefault="00E86F39" w:rsidP="00E86F3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Cs w:val="20"/>
        </w:rPr>
      </w:pPr>
      <w:r w:rsidRPr="00E86F39">
        <w:rPr>
          <w:rFonts w:eastAsia="Times New Roman"/>
          <w:szCs w:val="20"/>
        </w:rPr>
        <w:t>Recognize the purposes of citation practices in different contexts;</w:t>
      </w:r>
    </w:p>
    <w:p w:rsidR="00E86F39" w:rsidRPr="00E86F39" w:rsidRDefault="00E86F39" w:rsidP="00E86F3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Cs w:val="20"/>
        </w:rPr>
      </w:pPr>
      <w:r w:rsidRPr="00E86F39">
        <w:rPr>
          <w:rFonts w:eastAsia="Times New Roman"/>
          <w:szCs w:val="20"/>
        </w:rPr>
        <w:t>Cite sources accurately and responsibly in order to avoid plagiarism;</w:t>
      </w:r>
    </w:p>
    <w:p w:rsidR="00E86F39" w:rsidRPr="00E86F39" w:rsidRDefault="00E86F39" w:rsidP="00E86F3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Cs w:val="20"/>
        </w:rPr>
      </w:pPr>
      <w:r w:rsidRPr="00E86F39">
        <w:rPr>
          <w:rFonts w:eastAsia="Times New Roman"/>
          <w:szCs w:val="20"/>
        </w:rPr>
        <w:t>Read critically to analyze the writing strategies of experienced writers; and</w:t>
      </w:r>
    </w:p>
    <w:p w:rsidR="00E86F39" w:rsidRPr="00E86F39" w:rsidRDefault="00E86F39" w:rsidP="00E86F3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Cs w:val="20"/>
        </w:rPr>
      </w:pPr>
      <w:r w:rsidRPr="00E86F39">
        <w:rPr>
          <w:rFonts w:eastAsia="Times New Roman"/>
          <w:szCs w:val="20"/>
        </w:rPr>
        <w:t>Identify and explain writing strategies in your own work.</w:t>
      </w:r>
    </w:p>
    <w:p w:rsidR="00815A62" w:rsidRDefault="002A5940"/>
    <w:p w:rsidR="007926DA" w:rsidRDefault="007926DA"/>
    <w:p w:rsidR="00891FFE" w:rsidRDefault="00891FFE"/>
    <w:p w:rsidR="00000000" w:rsidRPr="002A006B" w:rsidRDefault="002A5940" w:rsidP="002A006B">
      <w:pPr>
        <w:rPr>
          <w:rFonts w:ascii="Gisha" w:hAnsi="Gisha" w:cs="Gisha"/>
          <w:b/>
        </w:rPr>
      </w:pPr>
      <w:r w:rsidRPr="002A006B">
        <w:rPr>
          <w:rFonts w:ascii="Gisha" w:hAnsi="Gisha" w:cs="Gisha"/>
          <w:b/>
        </w:rPr>
        <w:t>Two Major Assignment Categories</w:t>
      </w:r>
    </w:p>
    <w:p w:rsidR="002A006B" w:rsidRPr="00AC265F" w:rsidRDefault="002A006B" w:rsidP="002A006B">
      <w:pPr>
        <w:rPr>
          <w:rFonts w:eastAsia="Times New Roman"/>
          <w:bCs/>
          <w:szCs w:val="20"/>
        </w:rPr>
      </w:pPr>
      <w:r w:rsidRPr="006339D8">
        <w:rPr>
          <w:rFonts w:eastAsia="Times New Roman"/>
          <w:b/>
          <w:bCs/>
          <w:szCs w:val="20"/>
        </w:rPr>
        <w:t>Category 1:</w:t>
      </w:r>
      <w:r>
        <w:rPr>
          <w:rFonts w:eastAsia="Times New Roman"/>
          <w:bCs/>
          <w:szCs w:val="20"/>
        </w:rPr>
        <w:t xml:space="preserve"> Assignments that teach foundational skills of understanding writing about the disciplines. These assignments will help </w:t>
      </w:r>
      <w:r w:rsidR="006E2088">
        <w:rPr>
          <w:rFonts w:eastAsia="Times New Roman"/>
          <w:bCs/>
          <w:szCs w:val="20"/>
        </w:rPr>
        <w:t>students</w:t>
      </w:r>
      <w:r>
        <w:rPr>
          <w:rFonts w:eastAsia="Times New Roman"/>
          <w:bCs/>
          <w:szCs w:val="20"/>
        </w:rPr>
        <w:t xml:space="preserve"> learn how to read carefully in order to discern central and important features of writing in disciplines.</w:t>
      </w:r>
    </w:p>
    <w:p w:rsidR="002A006B" w:rsidRDefault="002A006B" w:rsidP="002A006B">
      <w:pPr>
        <w:rPr>
          <w:rFonts w:eastAsia="Times New Roman"/>
          <w:bCs/>
          <w:szCs w:val="20"/>
        </w:rPr>
      </w:pPr>
    </w:p>
    <w:p w:rsidR="002A006B" w:rsidRDefault="002A006B" w:rsidP="002A006B">
      <w:pPr>
        <w:rPr>
          <w:rFonts w:eastAsia="Times New Roman"/>
          <w:bCs/>
          <w:szCs w:val="20"/>
        </w:rPr>
      </w:pPr>
      <w:r w:rsidRPr="006339D8">
        <w:rPr>
          <w:rFonts w:eastAsia="Times New Roman"/>
          <w:b/>
          <w:bCs/>
          <w:szCs w:val="20"/>
        </w:rPr>
        <w:t>Category 2</w:t>
      </w:r>
      <w:r>
        <w:rPr>
          <w:rFonts w:eastAsia="Times New Roman"/>
          <w:bCs/>
          <w:szCs w:val="20"/>
        </w:rPr>
        <w:t>: Assignments that t</w:t>
      </w:r>
      <w:r w:rsidRPr="007243C0">
        <w:rPr>
          <w:rFonts w:eastAsia="Times New Roman"/>
          <w:bCs/>
          <w:szCs w:val="20"/>
        </w:rPr>
        <w:t xml:space="preserve">each </w:t>
      </w:r>
      <w:r>
        <w:rPr>
          <w:rFonts w:eastAsia="Times New Roman"/>
          <w:bCs/>
          <w:szCs w:val="20"/>
        </w:rPr>
        <w:t>foundational skills of composing in and about the d</w:t>
      </w:r>
      <w:r w:rsidRPr="007243C0">
        <w:rPr>
          <w:rFonts w:eastAsia="Times New Roman"/>
          <w:bCs/>
          <w:szCs w:val="20"/>
        </w:rPr>
        <w:t>isciplines</w:t>
      </w:r>
      <w:r>
        <w:rPr>
          <w:rFonts w:eastAsia="Times New Roman"/>
          <w:bCs/>
          <w:szCs w:val="20"/>
        </w:rPr>
        <w:t xml:space="preserve">. </w:t>
      </w:r>
      <w:r w:rsidRPr="00186EB8">
        <w:rPr>
          <w:rFonts w:eastAsia="Times New Roman"/>
          <w:szCs w:val="20"/>
        </w:rPr>
        <w:t>These assignments provide students with the opportunity to practice writing moves that are common to a variety of fields and to consider how and why writing conventions and expectations differ across disciplinary audiences and purposes.</w:t>
      </w:r>
    </w:p>
    <w:p w:rsidR="002A006B" w:rsidRPr="00891FFE" w:rsidRDefault="002A006B" w:rsidP="002A006B"/>
    <w:p w:rsidR="00891FFE" w:rsidRPr="00891FFE" w:rsidRDefault="00891FFE" w:rsidP="002A006B"/>
    <w:p w:rsidR="00891FFE" w:rsidRPr="00891FFE" w:rsidRDefault="00891FFE" w:rsidP="002A006B"/>
    <w:p w:rsidR="007926DA" w:rsidRDefault="002A006B" w:rsidP="002A006B">
      <w:pPr>
        <w:rPr>
          <w:rFonts w:ascii="Gisha" w:hAnsi="Gisha" w:cs="Gisha"/>
        </w:rPr>
      </w:pPr>
      <w:r w:rsidRPr="002A006B">
        <w:rPr>
          <w:rFonts w:ascii="Gisha" w:hAnsi="Gisha" w:cs="Gisha"/>
          <w:b/>
        </w:rPr>
        <w:t>Self-Analytical Writing</w:t>
      </w:r>
    </w:p>
    <w:p w:rsidR="002A006B" w:rsidRDefault="002A006B" w:rsidP="002A006B">
      <w:r>
        <w:t>Students will</w:t>
      </w:r>
      <w:r>
        <w:t xml:space="preserve"> provide specific examples of how </w:t>
      </w:r>
      <w:r>
        <w:t>their</w:t>
      </w:r>
      <w:r>
        <w:t xml:space="preserve"> writing meets the criteria (for example, where did </w:t>
      </w:r>
      <w:r>
        <w:t>they</w:t>
      </w:r>
      <w:r>
        <w:t xml:space="preserve"> use specific evidence to support </w:t>
      </w:r>
      <w:r>
        <w:t>their</w:t>
      </w:r>
      <w:r>
        <w:t xml:space="preserve"> claim</w:t>
      </w:r>
      <w:r>
        <w:t>s</w:t>
      </w:r>
      <w:r>
        <w:t xml:space="preserve">? Where and how did </w:t>
      </w:r>
      <w:r>
        <w:t>they</w:t>
      </w:r>
      <w:r>
        <w:t xml:space="preserve"> direct </w:t>
      </w:r>
      <w:r>
        <w:t>their</w:t>
      </w:r>
      <w:r>
        <w:t xml:space="preserve"> writing to a specific audience? </w:t>
      </w:r>
      <w:proofErr w:type="gramStart"/>
      <w:r>
        <w:t>e</w:t>
      </w:r>
      <w:bookmarkStart w:id="0" w:name="_GoBack"/>
      <w:r>
        <w:t>t</w:t>
      </w:r>
      <w:bookmarkEnd w:id="0"/>
      <w:r>
        <w:t>c</w:t>
      </w:r>
      <w:proofErr w:type="gramEnd"/>
      <w:r>
        <w:t xml:space="preserve">.). This writing is a self-analysis of </w:t>
      </w:r>
      <w:r>
        <w:t>their</w:t>
      </w:r>
      <w:r>
        <w:t xml:space="preserve"> writing and revising and should show </w:t>
      </w:r>
      <w:r>
        <w:t>their</w:t>
      </w:r>
      <w:r>
        <w:t xml:space="preserve"> awareness of </w:t>
      </w:r>
      <w:r>
        <w:t>their</w:t>
      </w:r>
      <w:r>
        <w:t xml:space="preserve"> writing choices and decisions. </w:t>
      </w:r>
      <w:r>
        <w:t>Students</w:t>
      </w:r>
      <w:r>
        <w:t xml:space="preserve"> should address specific revisions </w:t>
      </w:r>
      <w:r>
        <w:t>they</w:t>
      </w:r>
      <w:r>
        <w:t xml:space="preserve"> made to the Category 1 </w:t>
      </w:r>
      <w:r>
        <w:t xml:space="preserve">and Category 2 </w:t>
      </w:r>
      <w:r>
        <w:t>project</w:t>
      </w:r>
      <w:r>
        <w:t>s (one of each)</w:t>
      </w:r>
      <w:r>
        <w:t xml:space="preserve"> selected t</w:t>
      </w:r>
      <w:r>
        <w:t>o revise and include in their Final Portfolio</w:t>
      </w:r>
      <w:r>
        <w:t>.</w:t>
      </w:r>
    </w:p>
    <w:p w:rsidR="002A006B" w:rsidRPr="002A006B" w:rsidRDefault="002A006B" w:rsidP="002A006B"/>
    <w:sectPr w:rsidR="002A006B" w:rsidRPr="002A006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940" w:rsidRDefault="002A5940" w:rsidP="006E2088">
      <w:r>
        <w:separator/>
      </w:r>
    </w:p>
  </w:endnote>
  <w:endnote w:type="continuationSeparator" w:id="0">
    <w:p w:rsidR="002A5940" w:rsidRDefault="002A5940" w:rsidP="006E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88" w:rsidRPr="006E2088" w:rsidRDefault="006E2088" w:rsidP="006E2088">
    <w:pPr>
      <w:pStyle w:val="Footer"/>
      <w:jc w:val="right"/>
      <w:rPr>
        <w:sz w:val="20"/>
      </w:rPr>
    </w:pPr>
    <w:r w:rsidRPr="006E2088">
      <w:rPr>
        <w:sz w:val="20"/>
      </w:rPr>
      <w:t>Dr. Tracy Ann Morse, Director of Composition/Writing Foundations</w:t>
    </w:r>
  </w:p>
  <w:p w:rsidR="006E2088" w:rsidRPr="006E2088" w:rsidRDefault="006E2088" w:rsidP="006E2088">
    <w:pPr>
      <w:pStyle w:val="Footer"/>
      <w:jc w:val="right"/>
      <w:rPr>
        <w:sz w:val="20"/>
      </w:rPr>
    </w:pPr>
    <w:r w:rsidRPr="006E2088">
      <w:rPr>
        <w:sz w:val="20"/>
      </w:rPr>
      <w:t>2015-2016</w:t>
    </w:r>
  </w:p>
  <w:p w:rsidR="006E2088" w:rsidRPr="006E2088" w:rsidRDefault="006E2088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940" w:rsidRDefault="002A5940" w:rsidP="006E2088">
      <w:r>
        <w:separator/>
      </w:r>
    </w:p>
  </w:footnote>
  <w:footnote w:type="continuationSeparator" w:id="0">
    <w:p w:rsidR="002A5940" w:rsidRDefault="002A5940" w:rsidP="006E2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13886"/>
    <w:multiLevelType w:val="hybridMultilevel"/>
    <w:tmpl w:val="EA68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7663A"/>
    <w:multiLevelType w:val="hybridMultilevel"/>
    <w:tmpl w:val="FF0C0350"/>
    <w:lvl w:ilvl="0" w:tplc="6E540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6CDD96">
      <w:start w:val="6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80F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644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2F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860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167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E3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9A3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5860667"/>
    <w:multiLevelType w:val="hybridMultilevel"/>
    <w:tmpl w:val="6E1C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39"/>
    <w:rsid w:val="002A006B"/>
    <w:rsid w:val="002A5940"/>
    <w:rsid w:val="003000AB"/>
    <w:rsid w:val="004A1EFC"/>
    <w:rsid w:val="006E2088"/>
    <w:rsid w:val="007926DA"/>
    <w:rsid w:val="007D486E"/>
    <w:rsid w:val="00891FFE"/>
    <w:rsid w:val="008C7E8B"/>
    <w:rsid w:val="00DC7896"/>
    <w:rsid w:val="00E86F39"/>
    <w:rsid w:val="00EE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136A9-04BA-4485-80F2-399F8677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26DA"/>
    <w:pPr>
      <w:spacing w:before="100" w:beforeAutospacing="1" w:after="100" w:afterAutospacing="1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6E2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088"/>
  </w:style>
  <w:style w:type="paragraph" w:styleId="Footer">
    <w:name w:val="footer"/>
    <w:basedOn w:val="Normal"/>
    <w:link w:val="FooterChar"/>
    <w:uiPriority w:val="99"/>
    <w:unhideWhenUsed/>
    <w:rsid w:val="006E2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107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9554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635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Tracy</dc:creator>
  <cp:keywords/>
  <dc:description/>
  <cp:lastModifiedBy>Morse, Tracy</cp:lastModifiedBy>
  <cp:revision>5</cp:revision>
  <dcterms:created xsi:type="dcterms:W3CDTF">2016-02-09T17:08:00Z</dcterms:created>
  <dcterms:modified xsi:type="dcterms:W3CDTF">2016-02-09T17:11:00Z</dcterms:modified>
</cp:coreProperties>
</file>