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15AC" w:rsidRPr="001A15AC" w:rsidRDefault="001A15AC" w:rsidP="001A15AC">
      <w:pPr>
        <w:pStyle w:val="Title"/>
        <w:shd w:val="clear" w:color="auto" w:fill="191919"/>
        <w:rPr>
          <w:rFonts w:ascii="Times New Roman" w:hAnsi="Times New Roman"/>
          <w:color w:val="FFFFFF" w:themeColor="background1"/>
        </w:rPr>
      </w:pPr>
      <w:bookmarkStart w:id="0" w:name="_GoBack"/>
      <w:bookmarkEnd w:id="0"/>
      <w:r w:rsidRPr="001A15AC">
        <w:rPr>
          <w:rFonts w:ascii="Times New Roman" w:hAnsi="Times New Roman"/>
          <w:color w:val="FFFFFF" w:themeColor="background1"/>
        </w:rPr>
        <w:t>Writing Foundations Faculty Seminar</w:t>
      </w:r>
    </w:p>
    <w:p w:rsidR="001A15AC" w:rsidRPr="001A15AC" w:rsidRDefault="00DA7C15" w:rsidP="001A15AC">
      <w:pPr>
        <w:pStyle w:val="Title"/>
        <w:shd w:val="clear" w:color="auto" w:fill="191919"/>
        <w:rPr>
          <w:rFonts w:ascii="Times New Roman" w:hAnsi="Times New Roman"/>
          <w:color w:val="FFFFFF" w:themeColor="background1"/>
        </w:rPr>
      </w:pPr>
      <w:r>
        <w:rPr>
          <w:rFonts w:ascii="Times New Roman" w:hAnsi="Times New Roman"/>
          <w:color w:val="FFFFFF" w:themeColor="background1"/>
        </w:rPr>
        <w:t>Spring</w:t>
      </w:r>
      <w:r w:rsidR="001A15AC" w:rsidRPr="001A15AC">
        <w:rPr>
          <w:rFonts w:ascii="Times New Roman" w:hAnsi="Times New Roman"/>
          <w:color w:val="FFFFFF" w:themeColor="background1"/>
        </w:rPr>
        <w:t xml:space="preserve"> 201</w:t>
      </w:r>
      <w:r>
        <w:rPr>
          <w:rFonts w:ascii="Times New Roman" w:hAnsi="Times New Roman"/>
          <w:color w:val="FFFFFF" w:themeColor="background1"/>
        </w:rPr>
        <w:t>5</w:t>
      </w:r>
    </w:p>
    <w:p w:rsidR="0071414E" w:rsidRPr="001A15AC" w:rsidRDefault="0071414E">
      <w:pPr>
        <w:pStyle w:val="Title"/>
        <w:jc w:val="left"/>
        <w:rPr>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901"/>
      </w:tblGrid>
      <w:tr w:rsidR="0071414E">
        <w:tc>
          <w:tcPr>
            <w:tcW w:w="4675" w:type="dxa"/>
          </w:tcPr>
          <w:p w:rsidR="0071414E" w:rsidRDefault="00527A20">
            <w:pPr>
              <w:pStyle w:val="Title"/>
              <w:contextualSpacing w:val="0"/>
              <w:jc w:val="left"/>
            </w:pPr>
            <w:r>
              <w:rPr>
                <w:rFonts w:ascii="Times New Roman" w:eastAsia="Times New Roman" w:hAnsi="Times New Roman" w:cs="Times New Roman"/>
                <w:sz w:val="24"/>
              </w:rPr>
              <w:t xml:space="preserve">Dir. of Composition: </w:t>
            </w:r>
            <w:r>
              <w:rPr>
                <w:rFonts w:ascii="Times New Roman" w:eastAsia="Times New Roman" w:hAnsi="Times New Roman" w:cs="Times New Roman"/>
                <w:b w:val="0"/>
                <w:sz w:val="24"/>
              </w:rPr>
              <w:t xml:space="preserve"> Dr. Tracy Ann Morse</w:t>
            </w:r>
          </w:p>
          <w:p w:rsidR="0071414E" w:rsidRDefault="0071414E">
            <w:pPr>
              <w:pStyle w:val="Title"/>
              <w:contextualSpacing w:val="0"/>
              <w:jc w:val="left"/>
            </w:pPr>
          </w:p>
        </w:tc>
        <w:tc>
          <w:tcPr>
            <w:tcW w:w="4901" w:type="dxa"/>
          </w:tcPr>
          <w:p w:rsidR="0071414E" w:rsidRDefault="00527A20" w:rsidP="00DA7C15">
            <w:pPr>
              <w:pStyle w:val="Title"/>
              <w:contextualSpacing w:val="0"/>
              <w:jc w:val="left"/>
            </w:pPr>
            <w:r>
              <w:rPr>
                <w:rFonts w:ascii="Times New Roman" w:eastAsia="Times New Roman" w:hAnsi="Times New Roman" w:cs="Times New Roman"/>
                <w:sz w:val="24"/>
              </w:rPr>
              <w:t>Asst. Dir. of Comp.:</w:t>
            </w:r>
            <w:r>
              <w:rPr>
                <w:rFonts w:ascii="Times New Roman" w:eastAsia="Times New Roman" w:hAnsi="Times New Roman" w:cs="Times New Roman"/>
                <w:b w:val="0"/>
                <w:sz w:val="24"/>
              </w:rPr>
              <w:t xml:space="preserve"> </w:t>
            </w:r>
            <w:r w:rsidR="00DA7C15">
              <w:rPr>
                <w:rFonts w:ascii="Times New Roman" w:eastAsia="Times New Roman" w:hAnsi="Times New Roman" w:cs="Times New Roman"/>
                <w:b w:val="0"/>
                <w:sz w:val="24"/>
              </w:rPr>
              <w:t>Kimberly Thompson</w:t>
            </w:r>
            <w:r>
              <w:rPr>
                <w:rFonts w:ascii="Times New Roman" w:eastAsia="Times New Roman" w:hAnsi="Times New Roman" w:cs="Times New Roman"/>
                <w:b w:val="0"/>
                <w:sz w:val="24"/>
              </w:rPr>
              <w:t>, PhD Student</w:t>
            </w:r>
          </w:p>
        </w:tc>
      </w:tr>
      <w:tr w:rsidR="0071414E">
        <w:tc>
          <w:tcPr>
            <w:tcW w:w="4675" w:type="dxa"/>
          </w:tcPr>
          <w:p w:rsidR="0071414E" w:rsidRDefault="00527A20">
            <w:pPr>
              <w:contextualSpacing w:val="0"/>
            </w:pPr>
            <w:r>
              <w:rPr>
                <w:b/>
              </w:rPr>
              <w:t xml:space="preserve">E-Mail:  </w:t>
            </w:r>
            <w:r>
              <w:t>morset@ecu.edu</w:t>
            </w:r>
          </w:p>
          <w:p w:rsidR="0071414E" w:rsidRDefault="00527A20">
            <w:pPr>
              <w:contextualSpacing w:val="0"/>
            </w:pPr>
            <w:r>
              <w:rPr>
                <w:b/>
              </w:rPr>
              <w:t>Office:</w:t>
            </w:r>
            <w:r>
              <w:t xml:space="preserve">  Bate 2210</w:t>
            </w:r>
          </w:p>
          <w:p w:rsidR="0071414E" w:rsidRDefault="00527A20">
            <w:pPr>
              <w:contextualSpacing w:val="0"/>
            </w:pPr>
            <w:r>
              <w:rPr>
                <w:b/>
              </w:rPr>
              <w:t xml:space="preserve">Office Phone:  </w:t>
            </w:r>
            <w:r>
              <w:t>(v) 252|737-2040</w:t>
            </w:r>
          </w:p>
        </w:tc>
        <w:tc>
          <w:tcPr>
            <w:tcW w:w="4901" w:type="dxa"/>
          </w:tcPr>
          <w:p w:rsidR="0071414E" w:rsidRDefault="00527A20">
            <w:pPr>
              <w:pStyle w:val="Title"/>
              <w:contextualSpacing w:val="0"/>
              <w:jc w:val="left"/>
            </w:pPr>
            <w:r>
              <w:rPr>
                <w:rFonts w:ascii="Times New Roman" w:eastAsia="Times New Roman" w:hAnsi="Times New Roman" w:cs="Times New Roman"/>
                <w:sz w:val="24"/>
              </w:rPr>
              <w:t>Email:</w:t>
            </w:r>
            <w:r>
              <w:rPr>
                <w:rFonts w:ascii="Times New Roman" w:eastAsia="Times New Roman" w:hAnsi="Times New Roman" w:cs="Times New Roman"/>
                <w:b w:val="0"/>
                <w:sz w:val="24"/>
              </w:rPr>
              <w:t xml:space="preserve">  </w:t>
            </w:r>
            <w:r w:rsidR="0082093E">
              <w:rPr>
                <w:rFonts w:ascii="Times New Roman" w:eastAsia="Times New Roman" w:hAnsi="Times New Roman" w:cs="Times New Roman"/>
                <w:b w:val="0"/>
                <w:sz w:val="24"/>
              </w:rPr>
              <w:t>thompsonk01</w:t>
            </w:r>
            <w:r>
              <w:rPr>
                <w:rFonts w:ascii="Times New Roman" w:eastAsia="Times New Roman" w:hAnsi="Times New Roman" w:cs="Times New Roman"/>
                <w:b w:val="0"/>
                <w:sz w:val="24"/>
              </w:rPr>
              <w:t>@students.ecu.edu</w:t>
            </w:r>
          </w:p>
          <w:p w:rsidR="0071414E" w:rsidRDefault="00527A20">
            <w:pPr>
              <w:pStyle w:val="Title"/>
              <w:contextualSpacing w:val="0"/>
              <w:jc w:val="left"/>
            </w:pPr>
            <w:r>
              <w:rPr>
                <w:rFonts w:ascii="Times New Roman" w:eastAsia="Times New Roman" w:hAnsi="Times New Roman" w:cs="Times New Roman"/>
                <w:sz w:val="24"/>
              </w:rPr>
              <w:t>Office:</w:t>
            </w:r>
            <w:r>
              <w:rPr>
                <w:rFonts w:ascii="Times New Roman" w:eastAsia="Times New Roman" w:hAnsi="Times New Roman" w:cs="Times New Roman"/>
                <w:b w:val="0"/>
                <w:sz w:val="24"/>
              </w:rPr>
              <w:t xml:space="preserve"> Bate 2026</w:t>
            </w:r>
          </w:p>
          <w:p w:rsidR="0071414E" w:rsidRDefault="00527A20">
            <w:pPr>
              <w:pStyle w:val="Title"/>
              <w:contextualSpacing w:val="0"/>
              <w:jc w:val="left"/>
            </w:pPr>
            <w:r>
              <w:rPr>
                <w:rFonts w:ascii="Times New Roman" w:eastAsia="Times New Roman" w:hAnsi="Times New Roman" w:cs="Times New Roman"/>
                <w:sz w:val="24"/>
              </w:rPr>
              <w:t>Office Phone: (</w:t>
            </w:r>
            <w:r>
              <w:rPr>
                <w:rFonts w:ascii="Times New Roman" w:eastAsia="Times New Roman" w:hAnsi="Times New Roman" w:cs="Times New Roman"/>
                <w:b w:val="0"/>
                <w:sz w:val="24"/>
              </w:rPr>
              <w:t>v) 252|737-4966</w:t>
            </w:r>
          </w:p>
        </w:tc>
      </w:tr>
      <w:tr w:rsidR="0071414E">
        <w:tc>
          <w:tcPr>
            <w:tcW w:w="4675" w:type="dxa"/>
          </w:tcPr>
          <w:p w:rsidR="0071414E" w:rsidRDefault="00527A20" w:rsidP="004530D4">
            <w:pPr>
              <w:contextualSpacing w:val="0"/>
            </w:pPr>
            <w:r>
              <w:rPr>
                <w:b/>
              </w:rPr>
              <w:t xml:space="preserve">Office Hours:  </w:t>
            </w:r>
            <w:r w:rsidR="004530D4">
              <w:t xml:space="preserve">T 12:30-2:30pm, </w:t>
            </w:r>
            <w:r>
              <w:t xml:space="preserve">W 11am-12pm, </w:t>
            </w:r>
            <w:r w:rsidR="004530D4">
              <w:t xml:space="preserve">R 10:30am-12:30pm, </w:t>
            </w:r>
            <w:r>
              <w:t>and by appointment</w:t>
            </w:r>
          </w:p>
        </w:tc>
        <w:tc>
          <w:tcPr>
            <w:tcW w:w="4901" w:type="dxa"/>
          </w:tcPr>
          <w:p w:rsidR="004530D4" w:rsidRDefault="00527A20" w:rsidP="004530D4">
            <w:r w:rsidRPr="004530D4">
              <w:rPr>
                <w:b/>
              </w:rPr>
              <w:t>Office Hours:</w:t>
            </w:r>
            <w:r>
              <w:t xml:space="preserve">  </w:t>
            </w:r>
            <w:r w:rsidR="004530D4" w:rsidRPr="004530D4">
              <w:t xml:space="preserve">M </w:t>
            </w:r>
            <w:r w:rsidR="004530D4">
              <w:t>2-</w:t>
            </w:r>
            <w:r w:rsidR="004530D4" w:rsidRPr="004530D4">
              <w:t>4 pm</w:t>
            </w:r>
            <w:r w:rsidR="004530D4">
              <w:t>, T 1-</w:t>
            </w:r>
            <w:r w:rsidR="004530D4" w:rsidRPr="004530D4">
              <w:t>3</w:t>
            </w:r>
            <w:r w:rsidR="004530D4">
              <w:t xml:space="preserve">pm, and </w:t>
            </w:r>
          </w:p>
          <w:p w:rsidR="004530D4" w:rsidRPr="004530D4" w:rsidRDefault="004530D4" w:rsidP="004530D4">
            <w:r>
              <w:t>R 2-3pm</w:t>
            </w:r>
          </w:p>
          <w:p w:rsidR="0071414E" w:rsidRDefault="0071414E" w:rsidP="00DA7C15">
            <w:pPr>
              <w:pStyle w:val="Title"/>
              <w:contextualSpacing w:val="0"/>
              <w:jc w:val="left"/>
            </w:pPr>
          </w:p>
        </w:tc>
      </w:tr>
    </w:tbl>
    <w:p w:rsidR="0071414E" w:rsidRDefault="0071414E"/>
    <w:p w:rsidR="0071414E" w:rsidRDefault="00527A20">
      <w:pPr>
        <w:jc w:val="center"/>
      </w:pPr>
      <w:r>
        <w:rPr>
          <w:u w:val="single"/>
        </w:rPr>
        <w:tab/>
      </w:r>
      <w:r>
        <w:rPr>
          <w:u w:val="single"/>
        </w:rPr>
        <w:tab/>
      </w:r>
      <w:r>
        <w:rPr>
          <w:u w:val="single"/>
        </w:rPr>
        <w:tab/>
      </w:r>
      <w:r>
        <w:rPr>
          <w:u w:val="single"/>
        </w:rPr>
        <w:tab/>
      </w:r>
      <w:r>
        <w:rPr>
          <w:u w:val="single"/>
        </w:rPr>
        <w:tab/>
      </w:r>
    </w:p>
    <w:p w:rsidR="0071414E" w:rsidRDefault="0071414E">
      <w:pPr>
        <w:jc w:val="center"/>
      </w:pPr>
    </w:p>
    <w:p w:rsidR="0071414E" w:rsidRDefault="00527A20">
      <w:pPr>
        <w:jc w:val="center"/>
      </w:pPr>
      <w:r>
        <w:rPr>
          <w:rFonts w:ascii="Arial" w:eastAsia="Arial" w:hAnsi="Arial" w:cs="Arial"/>
        </w:rPr>
        <w:t xml:space="preserve">I entered the classrooms with the conviction that it was crucial for me and every </w:t>
      </w:r>
    </w:p>
    <w:p w:rsidR="0071414E" w:rsidRDefault="00527A20">
      <w:pPr>
        <w:jc w:val="center"/>
      </w:pPr>
      <w:proofErr w:type="gramStart"/>
      <w:r>
        <w:rPr>
          <w:rFonts w:ascii="Arial" w:eastAsia="Arial" w:hAnsi="Arial" w:cs="Arial"/>
        </w:rPr>
        <w:t>other</w:t>
      </w:r>
      <w:proofErr w:type="gramEnd"/>
      <w:r>
        <w:rPr>
          <w:rFonts w:ascii="Arial" w:eastAsia="Arial" w:hAnsi="Arial" w:cs="Arial"/>
        </w:rPr>
        <w:t xml:space="preserve"> student to be an active participant, not a passive consumer. </w:t>
      </w:r>
    </w:p>
    <w:p w:rsidR="0071414E" w:rsidRDefault="00527A20">
      <w:pPr>
        <w:jc w:val="center"/>
      </w:pPr>
      <w:r>
        <w:t xml:space="preserve">—bell hooks, </w:t>
      </w:r>
      <w:proofErr w:type="gramStart"/>
      <w:r>
        <w:rPr>
          <w:i/>
        </w:rPr>
        <w:t>Teaching</w:t>
      </w:r>
      <w:proofErr w:type="gramEnd"/>
      <w:r>
        <w:rPr>
          <w:i/>
        </w:rPr>
        <w:t xml:space="preserve"> to Transgress</w:t>
      </w:r>
    </w:p>
    <w:p w:rsidR="0071414E" w:rsidRDefault="0071414E">
      <w:pPr>
        <w:jc w:val="center"/>
      </w:pPr>
    </w:p>
    <w:p w:rsidR="0071414E" w:rsidRDefault="0071414E"/>
    <w:p w:rsidR="0071414E" w:rsidRDefault="00527A20">
      <w:r>
        <w:rPr>
          <w:b/>
        </w:rPr>
        <w:t>PURPOSE AND OBJECTIVES</w:t>
      </w:r>
      <w:r>
        <w:t xml:space="preserve"> </w:t>
      </w:r>
    </w:p>
    <w:p w:rsidR="0071414E" w:rsidRDefault="00527A20">
      <w:r>
        <w:t>From the QEP:</w:t>
      </w:r>
    </w:p>
    <w:p w:rsidR="0071414E" w:rsidRDefault="00527A20" w:rsidP="000D182B">
      <w:pPr>
        <w:ind w:left="720"/>
      </w:pPr>
      <w:r>
        <w:t xml:space="preserve">Faculty Learning Communities will establish connections and set the stage for another important faculty support initiative of the QEP: </w:t>
      </w:r>
      <w:r>
        <w:rPr>
          <w:b/>
        </w:rPr>
        <w:t>Writing Foundations Faculty Seminars</w:t>
      </w:r>
      <w:r>
        <w:t>. To be prepared to teach English 2201, with its new sophomore population and writing-about-the-disciplines themes, Writing Foundations faculty will need time and venues for relevant professional development. It is important to note that, although teaching assignments each semester will be based in part on faculty members’ preferences for and past experience with particular versions of English 2201, Writing Foundations instructors will need to be prepared to teach any of the versions of English 2201 due to shifting needs. Prior to the first offerings of the course, Writing Foundations faculty will need the opportunity to</w:t>
      </w:r>
    </w:p>
    <w:p w:rsidR="00BA6C50" w:rsidRDefault="00BA6C50" w:rsidP="000D182B">
      <w:pPr>
        <w:ind w:left="720"/>
      </w:pPr>
    </w:p>
    <w:p w:rsidR="0071414E" w:rsidRDefault="00527A20" w:rsidP="000D182B">
      <w:pPr>
        <w:numPr>
          <w:ilvl w:val="0"/>
          <w:numId w:val="1"/>
        </w:numPr>
        <w:ind w:left="1440" w:hanging="360"/>
        <w:contextualSpacing/>
      </w:pPr>
      <w:r>
        <w:t>become familiar with types of research questions, common research methods, professional resources, and scholarly databases in different disciplinary areas so that they, in collaboration with instructional librarians at Joyner Library, can help students with the research tasks that are necessary to meet English 2201 course outcomes;</w:t>
      </w:r>
    </w:p>
    <w:p w:rsidR="0071414E" w:rsidRDefault="00527A20" w:rsidP="000D182B">
      <w:pPr>
        <w:numPr>
          <w:ilvl w:val="0"/>
          <w:numId w:val="1"/>
        </w:numPr>
        <w:ind w:left="1440" w:hanging="360"/>
        <w:contextualSpacing/>
      </w:pPr>
      <w:r>
        <w:t>explore the ways in which different disciplinary discourses are “translated” for broader audiences;</w:t>
      </w:r>
    </w:p>
    <w:p w:rsidR="0071414E" w:rsidRDefault="00527A20" w:rsidP="000D182B">
      <w:pPr>
        <w:numPr>
          <w:ilvl w:val="0"/>
          <w:numId w:val="1"/>
        </w:numPr>
        <w:ind w:left="1440" w:hanging="360"/>
        <w:contextualSpacing/>
      </w:pPr>
      <w:r>
        <w:t>review various citation systems used in different disciplinary areas;</w:t>
      </w:r>
    </w:p>
    <w:p w:rsidR="0071414E" w:rsidRDefault="00527A20" w:rsidP="000D182B">
      <w:pPr>
        <w:numPr>
          <w:ilvl w:val="0"/>
          <w:numId w:val="1"/>
        </w:numPr>
        <w:ind w:left="1440" w:hanging="360"/>
        <w:contextualSpacing/>
      </w:pPr>
      <w:r>
        <w:t>identify teaching strategies that will help students gain competence in common writing tasks within different disciplinary areas;</w:t>
      </w:r>
    </w:p>
    <w:p w:rsidR="0071414E" w:rsidRDefault="00527A20" w:rsidP="000D182B">
      <w:pPr>
        <w:numPr>
          <w:ilvl w:val="0"/>
          <w:numId w:val="1"/>
        </w:numPr>
        <w:ind w:left="1440" w:hanging="360"/>
        <w:contextualSpacing/>
      </w:pPr>
      <w:r>
        <w:lastRenderedPageBreak/>
        <w:t>plan assignments and classroom activities that will help students recognize and explain differences and similarities in purposes, genres, styles, and audiences within and across disciplinary communities;</w:t>
      </w:r>
    </w:p>
    <w:p w:rsidR="0071414E" w:rsidRDefault="00527A20" w:rsidP="000D182B">
      <w:pPr>
        <w:numPr>
          <w:ilvl w:val="0"/>
          <w:numId w:val="1"/>
        </w:numPr>
        <w:ind w:left="1440" w:hanging="360"/>
        <w:contextualSpacing/>
      </w:pPr>
      <w:proofErr w:type="gramStart"/>
      <w:r>
        <w:t>develop</w:t>
      </w:r>
      <w:proofErr w:type="gramEnd"/>
      <w:r>
        <w:t xml:space="preserve"> strategies for promoting metacognitive awareness in student writers (pages 42-43).</w:t>
      </w:r>
    </w:p>
    <w:p w:rsidR="0071414E" w:rsidRDefault="0071414E"/>
    <w:p w:rsidR="0071414E" w:rsidRDefault="00527A20">
      <w:r>
        <w:t>It is suggested that you become familiar with the ma</w:t>
      </w:r>
      <w:r w:rsidR="000D182B">
        <w:t xml:space="preserve">ny periodicals in Composition: </w:t>
      </w:r>
      <w:r>
        <w:rPr>
          <w:i/>
        </w:rPr>
        <w:t>College English</w:t>
      </w:r>
      <w:r>
        <w:t xml:space="preserve">, </w:t>
      </w:r>
      <w:r>
        <w:rPr>
          <w:i/>
        </w:rPr>
        <w:t>College Composition and Communication</w:t>
      </w:r>
      <w:r>
        <w:t xml:space="preserve">, </w:t>
      </w:r>
      <w:r>
        <w:rPr>
          <w:i/>
        </w:rPr>
        <w:t>Composition Studies</w:t>
      </w:r>
      <w:r>
        <w:t xml:space="preserve">, </w:t>
      </w:r>
      <w:r>
        <w:rPr>
          <w:i/>
        </w:rPr>
        <w:t>Computers and Composition</w:t>
      </w:r>
      <w:r>
        <w:t xml:space="preserve">, </w:t>
      </w:r>
      <w:r>
        <w:rPr>
          <w:i/>
        </w:rPr>
        <w:t>The Journal of Teaching Writing</w:t>
      </w:r>
      <w:r>
        <w:t xml:space="preserve">, </w:t>
      </w:r>
      <w:r>
        <w:rPr>
          <w:i/>
        </w:rPr>
        <w:t>Basic Writing</w:t>
      </w:r>
      <w:r>
        <w:t xml:space="preserve">, </w:t>
      </w:r>
      <w:r>
        <w:rPr>
          <w:i/>
        </w:rPr>
        <w:t>Reflections</w:t>
      </w:r>
      <w:r>
        <w:t xml:space="preserve">, </w:t>
      </w:r>
      <w:r>
        <w:rPr>
          <w:i/>
        </w:rPr>
        <w:t>JAC</w:t>
      </w:r>
      <w:r>
        <w:t xml:space="preserve">, </w:t>
      </w:r>
      <w:r>
        <w:rPr>
          <w:i/>
        </w:rPr>
        <w:t>Rhetoric Review</w:t>
      </w:r>
      <w:r>
        <w:t xml:space="preserve">, </w:t>
      </w:r>
      <w:r>
        <w:rPr>
          <w:i/>
        </w:rPr>
        <w:t>Rhetoric Society Quarterly</w:t>
      </w:r>
      <w:r>
        <w:t xml:space="preserve">, </w:t>
      </w:r>
      <w:r>
        <w:rPr>
          <w:i/>
        </w:rPr>
        <w:t xml:space="preserve">WPA: Writing Program Administration, </w:t>
      </w:r>
      <w:r>
        <w:t>etc.</w:t>
      </w:r>
    </w:p>
    <w:p w:rsidR="0071414E" w:rsidRDefault="0071414E"/>
    <w:p w:rsidR="0071414E" w:rsidRDefault="00527A20">
      <w:r>
        <w:rPr>
          <w:b/>
        </w:rPr>
        <w:t>SEMINAR PARTICIPATION</w:t>
      </w:r>
    </w:p>
    <w:p w:rsidR="00BE1092" w:rsidRDefault="00527A20">
      <w:r>
        <w:t xml:space="preserve">This seminar relies on you so participation is essential; therefore attendance is mandatory for the seminar to be productive. Attendance will be recorded and submitted to Dr. </w:t>
      </w:r>
      <w:r w:rsidR="00076846">
        <w:t>Don Palumbo</w:t>
      </w:r>
      <w:r>
        <w:t xml:space="preserve">. Please do not miss more than </w:t>
      </w:r>
      <w:r>
        <w:rPr>
          <w:i/>
        </w:rPr>
        <w:t>three</w:t>
      </w:r>
      <w:r>
        <w:t xml:space="preserve"> meetings, whether it be for emergencies, illness, conferences, etc. Missing more than three meetings will jeopardize your chances of renewal. </w:t>
      </w:r>
    </w:p>
    <w:p w:rsidR="00BE1092" w:rsidRDefault="00BE1092"/>
    <w:p w:rsidR="00BE1092" w:rsidRDefault="00527A20">
      <w:r>
        <w:t xml:space="preserve">Being tardy or leaving early from the meetings is disruptive and rude; missing any part of the meeting may result in missing work and discussions—valuable opportunities to have input in creation of teaching materials. </w:t>
      </w:r>
    </w:p>
    <w:p w:rsidR="00BE1092" w:rsidRDefault="00BE1092"/>
    <w:p w:rsidR="000D182B" w:rsidRDefault="00527A20">
      <w:r>
        <w:t xml:space="preserve">Be respectful to your peers and seminar leaders and speakers: arrive to the meeting on time, prepared, and use technology only when applicable to the work of the seminar. </w:t>
      </w:r>
    </w:p>
    <w:p w:rsidR="000D182B" w:rsidRDefault="000D182B"/>
    <w:p w:rsidR="0071414E" w:rsidRDefault="00527A20">
      <w:r>
        <w:rPr>
          <w:b/>
          <w:i/>
        </w:rPr>
        <w:t>This is not time you should be grading your students’ work or planning your next class meeting.</w:t>
      </w:r>
    </w:p>
    <w:p w:rsidR="0071414E" w:rsidRDefault="0071414E"/>
    <w:p w:rsidR="0071414E" w:rsidRDefault="00527A20">
      <w:r>
        <w:rPr>
          <w:b/>
        </w:rPr>
        <w:t>PARTICIPANTS’ ROLES</w:t>
      </w:r>
    </w:p>
    <w:p w:rsidR="0071414E" w:rsidRDefault="00527A20">
      <w:r>
        <w:rPr>
          <w:b/>
        </w:rPr>
        <w:t>Director of Composition/Writing Foundations:</w:t>
      </w:r>
      <w:r>
        <w:t xml:space="preserve"> As a facilitator, the Director will provide opportunities for Writing Foundations faculty to read, discuss, and create material that will better </w:t>
      </w:r>
      <w:r w:rsidR="000D182B">
        <w:t>prepare</w:t>
      </w:r>
      <w:r>
        <w:t xml:space="preserve"> </w:t>
      </w:r>
      <w:r w:rsidR="000E1ACC">
        <w:t>them</w:t>
      </w:r>
      <w:r w:rsidR="000D182B">
        <w:t xml:space="preserve"> to</w:t>
      </w:r>
      <w:r>
        <w:t xml:space="preserve"> teach Writing Foundations curriculum. The Director will offer on-going support for teaching and the creation of teaching material.</w:t>
      </w:r>
    </w:p>
    <w:p w:rsidR="0071414E" w:rsidRDefault="0071414E"/>
    <w:p w:rsidR="0071414E" w:rsidRPr="00BE1092" w:rsidRDefault="00527A20">
      <w:r>
        <w:rPr>
          <w:b/>
        </w:rPr>
        <w:t>Assistant Director of Composition/Writing Foundations:</w:t>
      </w:r>
      <w:r w:rsidR="00BE1092">
        <w:rPr>
          <w:b/>
        </w:rPr>
        <w:t xml:space="preserve"> </w:t>
      </w:r>
      <w:r w:rsidR="00BE1092" w:rsidRPr="00BE1092">
        <w:t>To offer an additional layer of on-going support, the Assistant Director will provide additional reading, discussion, and material creation both within and outside the seminar. The Assistant Director will be available to observe cla</w:t>
      </w:r>
      <w:r w:rsidR="00BE1092">
        <w:t>ssroom practices for feedback—NOT assessment—</w:t>
      </w:r>
      <w:r w:rsidR="00BE1092" w:rsidRPr="00BE1092">
        <w:t>purposes.</w:t>
      </w:r>
    </w:p>
    <w:p w:rsidR="0071414E" w:rsidRDefault="0071414E"/>
    <w:p w:rsidR="0071414E" w:rsidRDefault="00527A20">
      <w:r>
        <w:rPr>
          <w:b/>
        </w:rPr>
        <w:t xml:space="preserve">Fixed Term Faculty: </w:t>
      </w:r>
      <w:r>
        <w:t xml:space="preserve">It is expected that you will be </w:t>
      </w:r>
      <w:r>
        <w:rPr>
          <w:i/>
        </w:rPr>
        <w:t xml:space="preserve">active </w:t>
      </w:r>
      <w:r>
        <w:t>participants in this seminar.</w:t>
      </w:r>
      <w:r>
        <w:rPr>
          <w:b/>
        </w:rPr>
        <w:t xml:space="preserve"> </w:t>
      </w:r>
      <w:r>
        <w:t>Please come to meetings prepared to raise questions, explore new approaches, share ideas and material, and collaborate with your colleagues.</w:t>
      </w:r>
      <w:r w:rsidR="000D182B">
        <w:t xml:space="preserve"> </w:t>
      </w:r>
    </w:p>
    <w:p w:rsidR="0071414E" w:rsidRDefault="0071414E"/>
    <w:p w:rsidR="0071414E" w:rsidRDefault="002A0025">
      <w:r>
        <w:rPr>
          <w:b/>
        </w:rPr>
        <w:t>TEACHING MATERIAL</w:t>
      </w:r>
    </w:p>
    <w:p w:rsidR="0071414E" w:rsidRDefault="00527A20" w:rsidP="002A0025">
      <w:r>
        <w:t>For this se</w:t>
      </w:r>
      <w:r w:rsidR="002A0025">
        <w:t>mester, you are asked to create material you will use to teach ENGL 2201. U</w:t>
      </w:r>
      <w:r>
        <w:t>sing electronic options such as Google Drive, Evernote, or simply Word</w:t>
      </w:r>
      <w:r w:rsidR="002A0025">
        <w:t xml:space="preserve"> will be helpful for you to </w:t>
      </w:r>
      <w:r w:rsidR="002A0025">
        <w:lastRenderedPageBreak/>
        <w:t>save, access, and share the material you create</w:t>
      </w:r>
      <w:r>
        <w:t xml:space="preserve">. </w:t>
      </w:r>
      <w:r w:rsidR="002A0025">
        <w:t>It is our hope that we will collect informal and formal assignments to make available on the WF Instructors Blog.</w:t>
      </w:r>
    </w:p>
    <w:p w:rsidR="0071414E" w:rsidRDefault="0071414E"/>
    <w:p w:rsidR="0071414E" w:rsidRDefault="002160A0">
      <w:r>
        <w:rPr>
          <w:b/>
        </w:rPr>
        <w:t>ACADEMIC FREEDOM</w:t>
      </w:r>
    </w:p>
    <w:p w:rsidR="002160A0" w:rsidRDefault="0076718C">
      <w:r>
        <w:t>We anticipate some of you may have concerns regarding Academic Freedom. While standard curriculum, rubrics, and goals for assignments are not violations of Academic Freedom, we hope to balance some prescriptiveness with instructor personalization. Please refer to AAUP’s tenets of Academic Freedom:</w:t>
      </w:r>
    </w:p>
    <w:p w:rsidR="0076718C" w:rsidRDefault="0076718C"/>
    <w:p w:rsidR="000F7CEE" w:rsidRPr="000F7CEE" w:rsidRDefault="000F7CEE" w:rsidP="0076718C">
      <w:pPr>
        <w:numPr>
          <w:ilvl w:val="0"/>
          <w:numId w:val="2"/>
        </w:numPr>
        <w:tabs>
          <w:tab w:val="clear" w:pos="720"/>
          <w:tab w:val="num" w:pos="810"/>
        </w:tabs>
        <w:ind w:left="1080"/>
      </w:pPr>
      <w:r w:rsidRPr="000F7CEE">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0F7CEE" w:rsidRPr="000F7CEE" w:rsidRDefault="000F7CEE" w:rsidP="0076718C">
      <w:pPr>
        <w:numPr>
          <w:ilvl w:val="0"/>
          <w:numId w:val="2"/>
        </w:numPr>
        <w:tabs>
          <w:tab w:val="clear" w:pos="720"/>
          <w:tab w:val="num" w:pos="810"/>
        </w:tabs>
        <w:ind w:left="1080"/>
      </w:pPr>
      <w:r w:rsidRPr="000F7CEE">
        <w:t>Teachers are entitled to freedom in the classroom in discussing their subject, but they should be careful not to introduce into their teaching controversial matter which ha</w:t>
      </w:r>
      <w:r>
        <w:t>s no relation to their subject.</w:t>
      </w:r>
      <w:r w:rsidRPr="000F7CEE">
        <w:t xml:space="preserve"> Limitations of academic freedom because of religious or other aims of the institution should be clearly stated in writing </w:t>
      </w:r>
      <w:r>
        <w:t>at the time of the appointment.</w:t>
      </w:r>
    </w:p>
    <w:p w:rsidR="000F7CEE" w:rsidRPr="000F7CEE" w:rsidRDefault="000F7CEE" w:rsidP="0076718C">
      <w:pPr>
        <w:numPr>
          <w:ilvl w:val="0"/>
          <w:numId w:val="2"/>
        </w:numPr>
        <w:tabs>
          <w:tab w:val="clear" w:pos="720"/>
          <w:tab w:val="num" w:pos="810"/>
        </w:tabs>
        <w:ind w:left="1080"/>
      </w:pPr>
      <w:r w:rsidRPr="000F7CEE">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w:t>
      </w:r>
      <w:r>
        <w:t xml:space="preserve">t speaking for the institution (from </w:t>
      </w:r>
      <w:r w:rsidRPr="000F7CEE">
        <w:t>http://www.aaup.org/report/1940-statement-principles-academic-freedom-and-tenure</w:t>
      </w:r>
      <w:r>
        <w:t>).</w:t>
      </w:r>
    </w:p>
    <w:p w:rsidR="000F7CEE" w:rsidRPr="002160A0" w:rsidRDefault="000F7CEE"/>
    <w:p w:rsidR="002160A0" w:rsidRDefault="000F7CEE">
      <w:r>
        <w:t xml:space="preserve">Another source for information is the </w:t>
      </w:r>
      <w:r w:rsidR="002160A0">
        <w:t>AAUP’</w:t>
      </w:r>
      <w:r w:rsidR="002160A0" w:rsidRPr="002160A0">
        <w:t xml:space="preserve">s </w:t>
      </w:r>
      <w:r w:rsidR="002160A0" w:rsidRPr="000F7CEE">
        <w:rPr>
          <w:i/>
        </w:rPr>
        <w:t>Journal of Academic Freedom</w:t>
      </w:r>
      <w:r>
        <w:t xml:space="preserve">: </w:t>
      </w:r>
      <w:r w:rsidR="002160A0" w:rsidRPr="002160A0">
        <w:t>http://www.aaup.org/reports-publications/publications/journal-academic-freedom</w:t>
      </w:r>
      <w:r>
        <w:t>.</w:t>
      </w:r>
    </w:p>
    <w:p w:rsidR="000F7CEE" w:rsidRDefault="000F7CEE">
      <w:r>
        <w:br w:type="page"/>
      </w:r>
    </w:p>
    <w:p w:rsidR="002160A0" w:rsidRDefault="002160A0"/>
    <w:p w:rsidR="0071414E" w:rsidRDefault="00527A20">
      <w:pPr>
        <w:keepNext/>
        <w:jc w:val="center"/>
        <w:rPr>
          <w:b/>
          <w:sz w:val="36"/>
        </w:rPr>
      </w:pPr>
      <w:r>
        <w:rPr>
          <w:b/>
          <w:sz w:val="36"/>
        </w:rPr>
        <w:t>Seminar Schedule</w:t>
      </w:r>
      <w:r w:rsidR="00971E58">
        <w:rPr>
          <w:b/>
          <w:sz w:val="36"/>
        </w:rPr>
        <w:t xml:space="preserve"> at a Glance</w:t>
      </w:r>
    </w:p>
    <w:p w:rsidR="00C04D72" w:rsidRPr="00C04D72" w:rsidRDefault="00C04D72" w:rsidP="00C04D72">
      <w:pPr>
        <w:keepNext/>
      </w:pPr>
      <w:r>
        <w:t xml:space="preserve">We are planning visits with the Writing Liaisons and possibly some former students. </w:t>
      </w:r>
      <w:r w:rsidR="00971E58">
        <w:t xml:space="preserve">Below is a glance of topics we may be covering during a given week; however, we may need to move things around as we schedule visits. </w:t>
      </w:r>
      <w:r>
        <w:t xml:space="preserve">We will update the schedule with visits as we </w:t>
      </w:r>
      <w:r w:rsidR="00971E58">
        <w:t>secure</w:t>
      </w:r>
      <w:r>
        <w:t xml:space="preserve"> them. We will also be working in groups to develop and find material that will help us teach the different sections of 2201.</w:t>
      </w:r>
    </w:p>
    <w:p w:rsidR="002A0025" w:rsidRPr="00971E58" w:rsidRDefault="002A0025">
      <w:pPr>
        <w:rPr>
          <w:sz w:val="20"/>
        </w:rPr>
      </w:pPr>
    </w:p>
    <w:tbl>
      <w:tblPr>
        <w:tblStyle w:val="TableGrid"/>
        <w:tblW w:w="0" w:type="auto"/>
        <w:tblLook w:val="04A0" w:firstRow="1" w:lastRow="0" w:firstColumn="1" w:lastColumn="0" w:noHBand="0" w:noVBand="1"/>
      </w:tblPr>
      <w:tblGrid>
        <w:gridCol w:w="1098"/>
        <w:gridCol w:w="4185"/>
        <w:gridCol w:w="4185"/>
      </w:tblGrid>
      <w:tr w:rsidR="002A0025" w:rsidTr="002A0025">
        <w:tc>
          <w:tcPr>
            <w:tcW w:w="1098" w:type="dxa"/>
            <w:tcBorders>
              <w:top w:val="nil"/>
              <w:left w:val="nil"/>
              <w:bottom w:val="single" w:sz="4" w:space="0" w:color="auto"/>
            </w:tcBorders>
            <w:vAlign w:val="center"/>
          </w:tcPr>
          <w:p w:rsidR="002A0025" w:rsidRPr="001C19AC" w:rsidRDefault="002A0025" w:rsidP="00653772">
            <w:pPr>
              <w:jc w:val="center"/>
            </w:pPr>
          </w:p>
        </w:tc>
        <w:tc>
          <w:tcPr>
            <w:tcW w:w="4185" w:type="dxa"/>
            <w:shd w:val="clear" w:color="auto" w:fill="000000" w:themeFill="text1"/>
          </w:tcPr>
          <w:p w:rsidR="002A0025" w:rsidRDefault="002A0025" w:rsidP="00653772">
            <w:r>
              <w:t>Tuesdays</w:t>
            </w:r>
          </w:p>
        </w:tc>
        <w:tc>
          <w:tcPr>
            <w:tcW w:w="4185" w:type="dxa"/>
            <w:shd w:val="clear" w:color="auto" w:fill="000000" w:themeFill="text1"/>
          </w:tcPr>
          <w:p w:rsidR="002A0025" w:rsidRDefault="002A0025" w:rsidP="00653772">
            <w:r>
              <w:t>Thursdays</w:t>
            </w:r>
          </w:p>
        </w:tc>
      </w:tr>
      <w:tr w:rsidR="002A0025" w:rsidTr="002A0025">
        <w:tc>
          <w:tcPr>
            <w:tcW w:w="1098" w:type="dxa"/>
            <w:shd w:val="clear" w:color="auto" w:fill="000000" w:themeFill="text1"/>
            <w:vAlign w:val="center"/>
          </w:tcPr>
          <w:p w:rsidR="002A0025" w:rsidRPr="001C19AC" w:rsidRDefault="002A0025" w:rsidP="00653772">
            <w:pPr>
              <w:jc w:val="center"/>
            </w:pPr>
            <w:r w:rsidRPr="001C19AC">
              <w:t>Week 1</w:t>
            </w:r>
          </w:p>
        </w:tc>
        <w:tc>
          <w:tcPr>
            <w:tcW w:w="4185" w:type="dxa"/>
          </w:tcPr>
          <w:p w:rsidR="002A0025" w:rsidRDefault="002A0025" w:rsidP="00653772">
            <w:r>
              <w:t>1/13:  Introductions; Recap and Reboot</w:t>
            </w:r>
          </w:p>
          <w:p w:rsidR="002A0025" w:rsidRDefault="002A0025" w:rsidP="00653772"/>
          <w:p w:rsidR="002A0025" w:rsidRDefault="002A0025" w:rsidP="00653772"/>
        </w:tc>
        <w:tc>
          <w:tcPr>
            <w:tcW w:w="4185" w:type="dxa"/>
          </w:tcPr>
          <w:p w:rsidR="002A0025" w:rsidRDefault="002A0025" w:rsidP="00653772">
            <w:r>
              <w:t>1/15: What do we want to ask Writing Liaisons? We will generate a list of questions.</w:t>
            </w:r>
          </w:p>
          <w:p w:rsidR="00D10BB6" w:rsidRDefault="00D10BB6" w:rsidP="00D10BB6">
            <w:r>
              <w:t>QEP Director: Dr. Wendy Sharer</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2</w:t>
            </w:r>
          </w:p>
        </w:tc>
        <w:tc>
          <w:tcPr>
            <w:tcW w:w="4185" w:type="dxa"/>
          </w:tcPr>
          <w:p w:rsidR="00C04D72" w:rsidRDefault="002A0025" w:rsidP="00C04D72">
            <w:r>
              <w:t xml:space="preserve">1/20: </w:t>
            </w:r>
            <w:r w:rsidR="00C04D72">
              <w:t>Review “Writing In the Disciplines” tab in Blog</w:t>
            </w:r>
          </w:p>
        </w:tc>
        <w:tc>
          <w:tcPr>
            <w:tcW w:w="4185" w:type="dxa"/>
          </w:tcPr>
          <w:p w:rsidR="002A0025" w:rsidRDefault="002A0025" w:rsidP="00653772">
            <w:r>
              <w:t xml:space="preserve">1/22: </w:t>
            </w:r>
            <w:r w:rsidR="00C04D72">
              <w:t>Work in Groups</w:t>
            </w:r>
            <w:r w:rsidR="00A87804">
              <w:t>: focus on assigned sections</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3</w:t>
            </w:r>
          </w:p>
        </w:tc>
        <w:tc>
          <w:tcPr>
            <w:tcW w:w="4185" w:type="dxa"/>
          </w:tcPr>
          <w:p w:rsidR="002A0025" w:rsidRDefault="002A0025" w:rsidP="00653772">
            <w:r>
              <w:t xml:space="preserve">1/27: </w:t>
            </w:r>
            <w:r w:rsidR="00A87804">
              <w:t>Work in Groups: focus on assigned sections</w:t>
            </w:r>
          </w:p>
        </w:tc>
        <w:tc>
          <w:tcPr>
            <w:tcW w:w="4185" w:type="dxa"/>
          </w:tcPr>
          <w:p w:rsidR="002A0025" w:rsidRDefault="002A0025" w:rsidP="00653772">
            <w:r>
              <w:t xml:space="preserve">1/19: </w:t>
            </w:r>
            <w:r w:rsidR="00A87804">
              <w:t>Work in Groups: focus on assigned sections</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4</w:t>
            </w:r>
          </w:p>
        </w:tc>
        <w:tc>
          <w:tcPr>
            <w:tcW w:w="4185" w:type="dxa"/>
          </w:tcPr>
          <w:p w:rsidR="002A0025" w:rsidRDefault="002A0025" w:rsidP="00653772">
            <w:r>
              <w:t xml:space="preserve">2/3: </w:t>
            </w:r>
            <w:r w:rsidR="00971E58">
              <w:t>Possible Reading Material to use in 2201</w:t>
            </w:r>
          </w:p>
        </w:tc>
        <w:tc>
          <w:tcPr>
            <w:tcW w:w="4185" w:type="dxa"/>
          </w:tcPr>
          <w:p w:rsidR="002A0025" w:rsidRDefault="002A0025" w:rsidP="00653772">
            <w:r>
              <w:t xml:space="preserve">2/5: </w:t>
            </w:r>
            <w:r w:rsidR="00971E58">
              <w:t>Possible Reading Material to use in 2201</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5</w:t>
            </w:r>
          </w:p>
        </w:tc>
        <w:tc>
          <w:tcPr>
            <w:tcW w:w="4185" w:type="dxa"/>
          </w:tcPr>
          <w:p w:rsidR="002A0025" w:rsidRDefault="002A0025" w:rsidP="00653772">
            <w:r>
              <w:t>2/10</w:t>
            </w:r>
            <w:r w:rsidR="00C04D72">
              <w:t xml:space="preserve">: </w:t>
            </w:r>
            <w:r w:rsidR="00971E58">
              <w:t>Possible Reading Material to use in 2201</w:t>
            </w:r>
          </w:p>
        </w:tc>
        <w:tc>
          <w:tcPr>
            <w:tcW w:w="4185" w:type="dxa"/>
          </w:tcPr>
          <w:p w:rsidR="002A0025" w:rsidRDefault="002A0025" w:rsidP="00653772">
            <w:r>
              <w:t>2/12</w:t>
            </w:r>
            <w:r w:rsidR="00C04D72">
              <w:t xml:space="preserve">: </w:t>
            </w:r>
            <w:r w:rsidR="00971E58">
              <w:t>Possible Reading Material to use in 2201</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6</w:t>
            </w:r>
          </w:p>
        </w:tc>
        <w:tc>
          <w:tcPr>
            <w:tcW w:w="4185" w:type="dxa"/>
          </w:tcPr>
          <w:p w:rsidR="002A0025" w:rsidRDefault="002A0025" w:rsidP="00653772">
            <w:r>
              <w:t>2/17</w:t>
            </w:r>
            <w:r w:rsidR="00C04D72">
              <w:t xml:space="preserve">: </w:t>
            </w:r>
            <w:r w:rsidR="00FA03E0">
              <w:t xml:space="preserve">Work in Groups: </w:t>
            </w:r>
            <w:r w:rsidR="00971E58">
              <w:t>Create Informal/Class Assignments/Activities</w:t>
            </w:r>
          </w:p>
        </w:tc>
        <w:tc>
          <w:tcPr>
            <w:tcW w:w="4185" w:type="dxa"/>
          </w:tcPr>
          <w:p w:rsidR="002A0025" w:rsidRDefault="002A0025" w:rsidP="00653772">
            <w:r>
              <w:t>2/19</w:t>
            </w:r>
            <w:r w:rsidR="00C04D72">
              <w:t xml:space="preserve">: </w:t>
            </w:r>
            <w:r w:rsidR="00FA03E0">
              <w:t xml:space="preserve">Work in Groups: </w:t>
            </w:r>
            <w:r w:rsidR="00971E58">
              <w:t>Create Informal/Class Assignments/Activities</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7</w:t>
            </w:r>
          </w:p>
        </w:tc>
        <w:tc>
          <w:tcPr>
            <w:tcW w:w="4185" w:type="dxa"/>
          </w:tcPr>
          <w:p w:rsidR="002A0025" w:rsidRDefault="002A0025" w:rsidP="00653772">
            <w:r>
              <w:t>2/24</w:t>
            </w:r>
            <w:r w:rsidR="00C04D72">
              <w:t xml:space="preserve">: </w:t>
            </w:r>
            <w:r w:rsidR="00FA03E0">
              <w:t xml:space="preserve">Work in Groups: </w:t>
            </w:r>
            <w:r w:rsidR="00971E58">
              <w:t>Create Informal/Class Assignments/Activities</w:t>
            </w:r>
          </w:p>
        </w:tc>
        <w:tc>
          <w:tcPr>
            <w:tcW w:w="4185" w:type="dxa"/>
          </w:tcPr>
          <w:p w:rsidR="002A0025" w:rsidRDefault="002A0025" w:rsidP="00653772">
            <w:r>
              <w:t>2/26</w:t>
            </w:r>
            <w:r w:rsidR="00C04D72">
              <w:t xml:space="preserve">: </w:t>
            </w:r>
            <w:r w:rsidR="00971E58">
              <w:t>Report/Share Assignments/Activities</w:t>
            </w:r>
          </w:p>
        </w:tc>
      </w:tr>
      <w:tr w:rsidR="002A0025" w:rsidTr="00C04D72">
        <w:tc>
          <w:tcPr>
            <w:tcW w:w="1098" w:type="dxa"/>
            <w:shd w:val="clear" w:color="auto" w:fill="000000" w:themeFill="text1"/>
            <w:vAlign w:val="center"/>
          </w:tcPr>
          <w:p w:rsidR="002A0025" w:rsidRPr="001C19AC" w:rsidRDefault="002A0025" w:rsidP="00653772">
            <w:pPr>
              <w:jc w:val="center"/>
            </w:pPr>
            <w:r>
              <w:t xml:space="preserve">Week </w:t>
            </w:r>
            <w:r w:rsidRPr="001C19AC">
              <w:t>8</w:t>
            </w:r>
          </w:p>
        </w:tc>
        <w:tc>
          <w:tcPr>
            <w:tcW w:w="4185" w:type="dxa"/>
            <w:tcBorders>
              <w:bottom w:val="single" w:sz="4" w:space="0" w:color="auto"/>
            </w:tcBorders>
          </w:tcPr>
          <w:p w:rsidR="002A0025" w:rsidRDefault="002A0025" w:rsidP="00653772">
            <w:r>
              <w:t>3/3</w:t>
            </w:r>
            <w:r w:rsidR="00C04D72">
              <w:t xml:space="preserve">: </w:t>
            </w:r>
            <w:r w:rsidR="00971E58">
              <w:t>Report/Share Assignments/Activities</w:t>
            </w:r>
          </w:p>
        </w:tc>
        <w:tc>
          <w:tcPr>
            <w:tcW w:w="4185" w:type="dxa"/>
            <w:tcBorders>
              <w:bottom w:val="single" w:sz="4" w:space="0" w:color="auto"/>
            </w:tcBorders>
          </w:tcPr>
          <w:p w:rsidR="002A0025" w:rsidRDefault="002A0025" w:rsidP="00653772">
            <w:r>
              <w:t>3/5</w:t>
            </w:r>
            <w:r w:rsidR="00C04D72">
              <w:t xml:space="preserve">: </w:t>
            </w:r>
            <w:r w:rsidR="00971E58">
              <w:t>Report/Share Assignments/Activities</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9</w:t>
            </w:r>
          </w:p>
        </w:tc>
        <w:tc>
          <w:tcPr>
            <w:tcW w:w="4185" w:type="dxa"/>
            <w:shd w:val="clear" w:color="auto" w:fill="D9D9D9" w:themeFill="background1" w:themeFillShade="D9"/>
          </w:tcPr>
          <w:p w:rsidR="002A0025" w:rsidRDefault="002A0025" w:rsidP="00653772">
            <w:r>
              <w:t>3/10: Spring Break</w:t>
            </w:r>
          </w:p>
          <w:p w:rsidR="002A0025" w:rsidRDefault="002A0025" w:rsidP="00653772">
            <w:r>
              <w:t>No Classes</w:t>
            </w:r>
          </w:p>
        </w:tc>
        <w:tc>
          <w:tcPr>
            <w:tcW w:w="4185" w:type="dxa"/>
            <w:shd w:val="clear" w:color="auto" w:fill="D9D9D9" w:themeFill="background1" w:themeFillShade="D9"/>
          </w:tcPr>
          <w:p w:rsidR="002A0025" w:rsidRDefault="002A0025" w:rsidP="00653772">
            <w:r>
              <w:t>3/12: Spring Break</w:t>
            </w:r>
          </w:p>
          <w:p w:rsidR="002A0025" w:rsidRDefault="002A0025" w:rsidP="00653772">
            <w:r>
              <w:t>No Classes</w:t>
            </w:r>
          </w:p>
        </w:tc>
      </w:tr>
      <w:tr w:rsidR="002A0025" w:rsidTr="00C04D72">
        <w:tc>
          <w:tcPr>
            <w:tcW w:w="1098" w:type="dxa"/>
            <w:shd w:val="clear" w:color="auto" w:fill="000000" w:themeFill="text1"/>
            <w:vAlign w:val="center"/>
          </w:tcPr>
          <w:p w:rsidR="002A0025" w:rsidRPr="001C19AC" w:rsidRDefault="002A0025" w:rsidP="00653772">
            <w:pPr>
              <w:jc w:val="center"/>
            </w:pPr>
            <w:r>
              <w:t xml:space="preserve">Week </w:t>
            </w:r>
            <w:r w:rsidRPr="001C19AC">
              <w:t>10</w:t>
            </w:r>
          </w:p>
        </w:tc>
        <w:tc>
          <w:tcPr>
            <w:tcW w:w="4185" w:type="dxa"/>
            <w:shd w:val="clear" w:color="auto" w:fill="D9D9D9" w:themeFill="background1" w:themeFillShade="D9"/>
          </w:tcPr>
          <w:p w:rsidR="002A0025" w:rsidRDefault="002A0025" w:rsidP="00653772">
            <w:r>
              <w:t>3/17: CCCC: We will not meet for our seminar.</w:t>
            </w:r>
          </w:p>
          <w:p w:rsidR="002A0025" w:rsidRDefault="002A0025" w:rsidP="00653772"/>
        </w:tc>
        <w:tc>
          <w:tcPr>
            <w:tcW w:w="4185" w:type="dxa"/>
            <w:shd w:val="clear" w:color="auto" w:fill="D9D9D9" w:themeFill="background1" w:themeFillShade="D9"/>
          </w:tcPr>
          <w:p w:rsidR="002A0025" w:rsidRDefault="002A0025" w:rsidP="00653772">
            <w:r>
              <w:t>3/19: CCCC: We will not meet for our seminar.</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11</w:t>
            </w:r>
          </w:p>
        </w:tc>
        <w:tc>
          <w:tcPr>
            <w:tcW w:w="4185" w:type="dxa"/>
          </w:tcPr>
          <w:p w:rsidR="002A0025" w:rsidRDefault="002A0025" w:rsidP="00FA03E0">
            <w:r>
              <w:t>3/24</w:t>
            </w:r>
            <w:r w:rsidR="00A87804">
              <w:t>:</w:t>
            </w:r>
            <w:r w:rsidR="00971E58">
              <w:t xml:space="preserve"> Sketch a Schedule at a Glance for 2201 by Section of your Choice</w:t>
            </w:r>
          </w:p>
        </w:tc>
        <w:tc>
          <w:tcPr>
            <w:tcW w:w="4185" w:type="dxa"/>
          </w:tcPr>
          <w:p w:rsidR="002A0025" w:rsidRDefault="002A0025" w:rsidP="00653772">
            <w:r>
              <w:t>3/26</w:t>
            </w:r>
            <w:r w:rsidR="00A87804">
              <w:t>:</w:t>
            </w:r>
            <w:r w:rsidR="00971E58">
              <w:t xml:space="preserve"> </w:t>
            </w:r>
            <w:r w:rsidR="00FA03E0">
              <w:t xml:space="preserve">Work in Groups: </w:t>
            </w:r>
            <w:r w:rsidR="00971E58">
              <w:t>Sketch a Schedule at a Glance for 2201 by Section of your Choice</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12</w:t>
            </w:r>
          </w:p>
        </w:tc>
        <w:tc>
          <w:tcPr>
            <w:tcW w:w="4185" w:type="dxa"/>
          </w:tcPr>
          <w:p w:rsidR="002A0025" w:rsidRDefault="002A0025" w:rsidP="00653772">
            <w:r>
              <w:t>3/31</w:t>
            </w:r>
            <w:r w:rsidR="00A87804">
              <w:t>:</w:t>
            </w:r>
            <w:r w:rsidR="00971E58">
              <w:t xml:space="preserve"> </w:t>
            </w:r>
            <w:r w:rsidR="00FA03E0">
              <w:t xml:space="preserve">Work in Groups: </w:t>
            </w:r>
            <w:r w:rsidR="00971E58">
              <w:t>Sketch a Schedule at a Glance for 2201 by Section of your Choice</w:t>
            </w:r>
          </w:p>
        </w:tc>
        <w:tc>
          <w:tcPr>
            <w:tcW w:w="4185" w:type="dxa"/>
          </w:tcPr>
          <w:p w:rsidR="002A0025" w:rsidRDefault="002A0025" w:rsidP="00971E58">
            <w:r>
              <w:t>4/2</w:t>
            </w:r>
            <w:r w:rsidR="00A87804">
              <w:t>:</w:t>
            </w:r>
            <w:r w:rsidR="00971E58">
              <w:t xml:space="preserve"> Syllabus and Schedule Sharing</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13</w:t>
            </w:r>
          </w:p>
        </w:tc>
        <w:tc>
          <w:tcPr>
            <w:tcW w:w="4185" w:type="dxa"/>
          </w:tcPr>
          <w:p w:rsidR="002A0025" w:rsidRDefault="002A0025" w:rsidP="00653772">
            <w:r>
              <w:t>4/7</w:t>
            </w:r>
            <w:r w:rsidR="00A87804">
              <w:t>:</w:t>
            </w:r>
            <w:r w:rsidR="00971E58">
              <w:t xml:space="preserve"> Syllabus and Schedule Sharing</w:t>
            </w:r>
          </w:p>
          <w:p w:rsidR="00971E58" w:rsidRDefault="00971E58" w:rsidP="00653772"/>
        </w:tc>
        <w:tc>
          <w:tcPr>
            <w:tcW w:w="4185" w:type="dxa"/>
          </w:tcPr>
          <w:p w:rsidR="002A0025" w:rsidRDefault="002A0025" w:rsidP="00653772">
            <w:r>
              <w:t>4/9</w:t>
            </w:r>
            <w:r w:rsidR="00A87804">
              <w:t>:</w:t>
            </w:r>
            <w:r w:rsidR="00971E58">
              <w:t xml:space="preserve"> Syllabus and Schedule Sharing</w:t>
            </w:r>
          </w:p>
        </w:tc>
      </w:tr>
      <w:tr w:rsidR="002A0025" w:rsidTr="002A0025">
        <w:tc>
          <w:tcPr>
            <w:tcW w:w="1098" w:type="dxa"/>
            <w:shd w:val="clear" w:color="auto" w:fill="000000" w:themeFill="text1"/>
            <w:vAlign w:val="center"/>
          </w:tcPr>
          <w:p w:rsidR="002A0025" w:rsidRPr="001C19AC" w:rsidRDefault="002A0025" w:rsidP="00653772">
            <w:pPr>
              <w:jc w:val="center"/>
            </w:pPr>
            <w:r>
              <w:t xml:space="preserve">Week </w:t>
            </w:r>
            <w:r w:rsidRPr="001C19AC">
              <w:t>14</w:t>
            </w:r>
          </w:p>
        </w:tc>
        <w:tc>
          <w:tcPr>
            <w:tcW w:w="4185" w:type="dxa"/>
          </w:tcPr>
          <w:p w:rsidR="002A0025" w:rsidRDefault="002A0025" w:rsidP="00653772">
            <w:r>
              <w:t>4/14</w:t>
            </w:r>
            <w:r w:rsidR="00A87804">
              <w:t>:</w:t>
            </w:r>
            <w:r w:rsidR="00971E58">
              <w:t xml:space="preserve"> TBD</w:t>
            </w:r>
          </w:p>
        </w:tc>
        <w:tc>
          <w:tcPr>
            <w:tcW w:w="4185" w:type="dxa"/>
          </w:tcPr>
          <w:p w:rsidR="00971E58" w:rsidRDefault="002A0025" w:rsidP="00653772">
            <w:r>
              <w:t>4/16</w:t>
            </w:r>
            <w:r w:rsidR="00A87804">
              <w:t>:</w:t>
            </w:r>
            <w:r w:rsidR="00971E58">
              <w:t xml:space="preserve"> TBD</w:t>
            </w:r>
          </w:p>
        </w:tc>
      </w:tr>
      <w:tr w:rsidR="002A0025" w:rsidTr="00C04D72">
        <w:tc>
          <w:tcPr>
            <w:tcW w:w="1098" w:type="dxa"/>
            <w:shd w:val="clear" w:color="auto" w:fill="000000" w:themeFill="text1"/>
            <w:vAlign w:val="center"/>
          </w:tcPr>
          <w:p w:rsidR="002A0025" w:rsidRPr="001C19AC" w:rsidRDefault="002A0025" w:rsidP="00653772">
            <w:pPr>
              <w:jc w:val="center"/>
            </w:pPr>
            <w:r>
              <w:t xml:space="preserve">Week </w:t>
            </w:r>
            <w:r w:rsidRPr="001C19AC">
              <w:t>15</w:t>
            </w:r>
          </w:p>
        </w:tc>
        <w:tc>
          <w:tcPr>
            <w:tcW w:w="4185" w:type="dxa"/>
            <w:tcBorders>
              <w:bottom w:val="single" w:sz="4" w:space="0" w:color="auto"/>
            </w:tcBorders>
          </w:tcPr>
          <w:p w:rsidR="002A0025" w:rsidRDefault="002A0025" w:rsidP="00653772">
            <w:r>
              <w:t>4/21</w:t>
            </w:r>
            <w:r w:rsidR="00C04D72">
              <w:t>: Metacognitive Day</w:t>
            </w:r>
          </w:p>
        </w:tc>
        <w:tc>
          <w:tcPr>
            <w:tcW w:w="4185" w:type="dxa"/>
          </w:tcPr>
          <w:p w:rsidR="002A0025" w:rsidRDefault="002A0025" w:rsidP="00653772">
            <w:r>
              <w:t>4/23</w:t>
            </w:r>
            <w:r w:rsidR="00C04D72">
              <w:t>: Metacognitive Day</w:t>
            </w:r>
          </w:p>
          <w:p w:rsidR="00C04D72" w:rsidRDefault="00C04D72" w:rsidP="00653772"/>
        </w:tc>
      </w:tr>
      <w:tr w:rsidR="002A0025" w:rsidTr="00C04D72">
        <w:tc>
          <w:tcPr>
            <w:tcW w:w="1098" w:type="dxa"/>
            <w:shd w:val="clear" w:color="auto" w:fill="000000" w:themeFill="text1"/>
            <w:vAlign w:val="center"/>
          </w:tcPr>
          <w:p w:rsidR="002A0025" w:rsidRPr="001C19AC" w:rsidRDefault="002A0025" w:rsidP="00653772">
            <w:pPr>
              <w:jc w:val="center"/>
            </w:pPr>
            <w:r>
              <w:t xml:space="preserve">Week </w:t>
            </w:r>
            <w:r w:rsidRPr="001C19AC">
              <w:t>16</w:t>
            </w:r>
          </w:p>
        </w:tc>
        <w:tc>
          <w:tcPr>
            <w:tcW w:w="4185" w:type="dxa"/>
            <w:shd w:val="clear" w:color="auto" w:fill="D9D9D9" w:themeFill="background1" w:themeFillShade="D9"/>
          </w:tcPr>
          <w:p w:rsidR="002A0025" w:rsidRPr="00971E58" w:rsidRDefault="002A0025" w:rsidP="00653772">
            <w:pPr>
              <w:rPr>
                <w:b/>
              </w:rPr>
            </w:pPr>
            <w:r>
              <w:t xml:space="preserve">4/28: </w:t>
            </w:r>
            <w:r w:rsidRPr="00BF3D38">
              <w:rPr>
                <w:b/>
              </w:rPr>
              <w:t>No T classes | F classes meet</w:t>
            </w:r>
          </w:p>
        </w:tc>
        <w:tc>
          <w:tcPr>
            <w:tcW w:w="4185" w:type="dxa"/>
          </w:tcPr>
          <w:p w:rsidR="002A0025" w:rsidRDefault="002A0025" w:rsidP="00653772">
            <w:r>
              <w:t>4/30: Final Exams</w:t>
            </w:r>
          </w:p>
        </w:tc>
      </w:tr>
      <w:tr w:rsidR="002A0025" w:rsidTr="002A0025">
        <w:tc>
          <w:tcPr>
            <w:tcW w:w="1098" w:type="dxa"/>
            <w:shd w:val="clear" w:color="auto" w:fill="000000" w:themeFill="text1"/>
            <w:vAlign w:val="center"/>
          </w:tcPr>
          <w:p w:rsidR="002A0025" w:rsidRPr="001C19AC" w:rsidRDefault="002A0025" w:rsidP="00653772">
            <w:pPr>
              <w:jc w:val="center"/>
            </w:pPr>
            <w:r>
              <w:t>Finals</w:t>
            </w:r>
          </w:p>
        </w:tc>
        <w:tc>
          <w:tcPr>
            <w:tcW w:w="4185" w:type="dxa"/>
          </w:tcPr>
          <w:p w:rsidR="002A0025" w:rsidRDefault="002A0025" w:rsidP="00653772">
            <w:r>
              <w:t>5/5: Final Exams</w:t>
            </w:r>
          </w:p>
        </w:tc>
        <w:tc>
          <w:tcPr>
            <w:tcW w:w="4185" w:type="dxa"/>
          </w:tcPr>
          <w:p w:rsidR="002A0025" w:rsidRDefault="002A0025" w:rsidP="00653772">
            <w:r>
              <w:t>5/7: Final Exams</w:t>
            </w:r>
          </w:p>
        </w:tc>
      </w:tr>
    </w:tbl>
    <w:p w:rsidR="0071414E" w:rsidRDefault="0071414E"/>
    <w:sectPr w:rsidR="0071414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5E" w:rsidRDefault="007C5F5E">
      <w:r>
        <w:separator/>
      </w:r>
    </w:p>
  </w:endnote>
  <w:endnote w:type="continuationSeparator" w:id="0">
    <w:p w:rsidR="007C5F5E" w:rsidRDefault="007C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5E" w:rsidRDefault="007C5F5E">
      <w:r>
        <w:separator/>
      </w:r>
    </w:p>
  </w:footnote>
  <w:footnote w:type="continuationSeparator" w:id="0">
    <w:p w:rsidR="007C5F5E" w:rsidRDefault="007C5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4E" w:rsidRDefault="00527A20">
    <w:pPr>
      <w:tabs>
        <w:tab w:val="center" w:pos="4320"/>
        <w:tab w:val="right" w:pos="8640"/>
      </w:tabs>
      <w:jc w:val="right"/>
    </w:pPr>
    <w:r>
      <w:rPr>
        <w:i/>
      </w:rPr>
      <w:t xml:space="preserve">Morse and </w:t>
    </w:r>
    <w:r w:rsidR="00DA7C15">
      <w:rPr>
        <w:i/>
      </w:rPr>
      <w:t>Thompson</w:t>
    </w:r>
  </w:p>
  <w:p w:rsidR="0071414E" w:rsidRDefault="00527A20">
    <w:pPr>
      <w:tabs>
        <w:tab w:val="center" w:pos="4320"/>
        <w:tab w:val="right" w:pos="8640"/>
      </w:tabs>
      <w:jc w:val="right"/>
    </w:pPr>
    <w:r>
      <w:rPr>
        <w:i/>
      </w:rPr>
      <w:t>Professional Development Seminar/</w:t>
    </w:r>
    <w:r w:rsidR="00DA7C15">
      <w:rPr>
        <w:i/>
      </w:rPr>
      <w:t>Spring 2015</w:t>
    </w:r>
  </w:p>
  <w:p w:rsidR="0071414E" w:rsidRDefault="00527A20">
    <w:pPr>
      <w:tabs>
        <w:tab w:val="center" w:pos="4320"/>
        <w:tab w:val="right" w:pos="8640"/>
      </w:tabs>
      <w:jc w:val="right"/>
    </w:pPr>
    <w:r>
      <w:rPr>
        <w:i/>
      </w:rPr>
      <w:t>TR 3:30-4:45pm/</w:t>
    </w:r>
    <w:proofErr w:type="spellStart"/>
    <w:r w:rsidR="00DA7C15">
      <w:rPr>
        <w:i/>
      </w:rPr>
      <w:t>Rawl</w:t>
    </w:r>
    <w:proofErr w:type="spellEnd"/>
    <w:r w:rsidR="00DA7C15">
      <w:rPr>
        <w:i/>
      </w:rPr>
      <w:t xml:space="preserve"> 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1779"/>
    <w:multiLevelType w:val="multilevel"/>
    <w:tmpl w:val="70F28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A4E71"/>
    <w:multiLevelType w:val="multilevel"/>
    <w:tmpl w:val="F25E85D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4E"/>
    <w:rsid w:val="000625D0"/>
    <w:rsid w:val="00076846"/>
    <w:rsid w:val="000D182B"/>
    <w:rsid w:val="000E1ACC"/>
    <w:rsid w:val="000F7CEE"/>
    <w:rsid w:val="001A15AC"/>
    <w:rsid w:val="002160A0"/>
    <w:rsid w:val="002A0025"/>
    <w:rsid w:val="0030542E"/>
    <w:rsid w:val="004530D4"/>
    <w:rsid w:val="004818DB"/>
    <w:rsid w:val="00527A20"/>
    <w:rsid w:val="005A56C9"/>
    <w:rsid w:val="0071414E"/>
    <w:rsid w:val="0074669D"/>
    <w:rsid w:val="0076718C"/>
    <w:rsid w:val="007C5F5E"/>
    <w:rsid w:val="0082093E"/>
    <w:rsid w:val="00846739"/>
    <w:rsid w:val="008F75AE"/>
    <w:rsid w:val="00971E58"/>
    <w:rsid w:val="00A87804"/>
    <w:rsid w:val="00A9286A"/>
    <w:rsid w:val="00B71FF5"/>
    <w:rsid w:val="00B94D6B"/>
    <w:rsid w:val="00BA6C50"/>
    <w:rsid w:val="00BD6CA7"/>
    <w:rsid w:val="00BE1092"/>
    <w:rsid w:val="00C04D72"/>
    <w:rsid w:val="00D10BB6"/>
    <w:rsid w:val="00DA7C15"/>
    <w:rsid w:val="00E11B5F"/>
    <w:rsid w:val="00FA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19994-01DA-4F0E-96B0-4BB387E4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Garamond" w:eastAsia="Garamond" w:hAnsi="Garamond" w:cs="Garamond"/>
      <w:b/>
      <w:sz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A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50"/>
    <w:rPr>
      <w:rFonts w:ascii="Segoe UI" w:hAnsi="Segoe UI" w:cs="Segoe UI"/>
      <w:sz w:val="18"/>
      <w:szCs w:val="18"/>
    </w:rPr>
  </w:style>
  <w:style w:type="paragraph" w:styleId="NormalWeb">
    <w:name w:val="Normal (Web)"/>
    <w:basedOn w:val="Normal"/>
    <w:uiPriority w:val="99"/>
    <w:semiHidden/>
    <w:unhideWhenUsed/>
    <w:rsid w:val="0074669D"/>
    <w:pPr>
      <w:spacing w:before="100" w:beforeAutospacing="1" w:after="100" w:afterAutospacing="1"/>
    </w:pPr>
    <w:rPr>
      <w:color w:val="auto"/>
      <w:szCs w:val="24"/>
    </w:rPr>
  </w:style>
  <w:style w:type="paragraph" w:styleId="Header">
    <w:name w:val="header"/>
    <w:basedOn w:val="Normal"/>
    <w:link w:val="HeaderChar"/>
    <w:uiPriority w:val="99"/>
    <w:unhideWhenUsed/>
    <w:rsid w:val="00DA7C15"/>
    <w:pPr>
      <w:tabs>
        <w:tab w:val="center" w:pos="4680"/>
        <w:tab w:val="right" w:pos="9360"/>
      </w:tabs>
    </w:pPr>
  </w:style>
  <w:style w:type="character" w:customStyle="1" w:styleId="HeaderChar">
    <w:name w:val="Header Char"/>
    <w:basedOn w:val="DefaultParagraphFont"/>
    <w:link w:val="Header"/>
    <w:uiPriority w:val="99"/>
    <w:rsid w:val="00DA7C15"/>
  </w:style>
  <w:style w:type="paragraph" w:styleId="Footer">
    <w:name w:val="footer"/>
    <w:basedOn w:val="Normal"/>
    <w:link w:val="FooterChar"/>
    <w:uiPriority w:val="99"/>
    <w:unhideWhenUsed/>
    <w:rsid w:val="00DA7C15"/>
    <w:pPr>
      <w:tabs>
        <w:tab w:val="center" w:pos="4680"/>
        <w:tab w:val="right" w:pos="9360"/>
      </w:tabs>
    </w:pPr>
  </w:style>
  <w:style w:type="character" w:customStyle="1" w:styleId="FooterChar">
    <w:name w:val="Footer Char"/>
    <w:basedOn w:val="DefaultParagraphFont"/>
    <w:link w:val="Footer"/>
    <w:uiPriority w:val="99"/>
    <w:rsid w:val="00DA7C15"/>
  </w:style>
  <w:style w:type="table" w:styleId="TableGrid">
    <w:name w:val="Table Grid"/>
    <w:basedOn w:val="TableNormal"/>
    <w:uiPriority w:val="59"/>
    <w:rsid w:val="002A0025"/>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2294">
      <w:bodyDiv w:val="1"/>
      <w:marLeft w:val="0"/>
      <w:marRight w:val="0"/>
      <w:marTop w:val="0"/>
      <w:marBottom w:val="0"/>
      <w:divBdr>
        <w:top w:val="none" w:sz="0" w:space="0" w:color="auto"/>
        <w:left w:val="none" w:sz="0" w:space="0" w:color="auto"/>
        <w:bottom w:val="none" w:sz="0" w:space="0" w:color="auto"/>
        <w:right w:val="none" w:sz="0" w:space="0" w:color="auto"/>
      </w:divBdr>
    </w:div>
    <w:div w:id="702827965">
      <w:bodyDiv w:val="1"/>
      <w:marLeft w:val="0"/>
      <w:marRight w:val="0"/>
      <w:marTop w:val="0"/>
      <w:marBottom w:val="0"/>
      <w:divBdr>
        <w:top w:val="none" w:sz="0" w:space="0" w:color="auto"/>
        <w:left w:val="none" w:sz="0" w:space="0" w:color="auto"/>
        <w:bottom w:val="none" w:sz="0" w:space="0" w:color="auto"/>
        <w:right w:val="none" w:sz="0" w:space="0" w:color="auto"/>
      </w:divBdr>
    </w:div>
    <w:div w:id="1058087824">
      <w:bodyDiv w:val="1"/>
      <w:marLeft w:val="0"/>
      <w:marRight w:val="0"/>
      <w:marTop w:val="0"/>
      <w:marBottom w:val="0"/>
      <w:divBdr>
        <w:top w:val="none" w:sz="0" w:space="0" w:color="auto"/>
        <w:left w:val="none" w:sz="0" w:space="0" w:color="auto"/>
        <w:bottom w:val="none" w:sz="0" w:space="0" w:color="auto"/>
        <w:right w:val="none" w:sz="0" w:space="0" w:color="auto"/>
      </w:divBdr>
    </w:div>
    <w:div w:id="1529248134">
      <w:bodyDiv w:val="1"/>
      <w:marLeft w:val="0"/>
      <w:marRight w:val="0"/>
      <w:marTop w:val="0"/>
      <w:marBottom w:val="0"/>
      <w:divBdr>
        <w:top w:val="none" w:sz="0" w:space="0" w:color="auto"/>
        <w:left w:val="none" w:sz="0" w:space="0" w:color="auto"/>
        <w:bottom w:val="none" w:sz="0" w:space="0" w:color="auto"/>
        <w:right w:val="none" w:sz="0" w:space="0" w:color="auto"/>
      </w:divBdr>
    </w:div>
    <w:div w:id="1550537083">
      <w:bodyDiv w:val="1"/>
      <w:marLeft w:val="0"/>
      <w:marRight w:val="0"/>
      <w:marTop w:val="0"/>
      <w:marBottom w:val="0"/>
      <w:divBdr>
        <w:top w:val="none" w:sz="0" w:space="0" w:color="auto"/>
        <w:left w:val="none" w:sz="0" w:space="0" w:color="auto"/>
        <w:bottom w:val="none" w:sz="0" w:space="0" w:color="auto"/>
        <w:right w:val="none" w:sz="0" w:space="0" w:color="auto"/>
      </w:divBdr>
    </w:div>
    <w:div w:id="165282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Writing Foundation Faculty Seminar Fall 2014.docx.docx</vt:lpstr>
    </vt:vector>
  </TitlesOfParts>
  <Company>East Carolina University</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Foundation Faculty Seminar Fall 2014.docx.docx</dc:title>
  <dc:creator>Morse, Tracy</dc:creator>
  <cp:lastModifiedBy>Kimberly Thompson</cp:lastModifiedBy>
  <cp:revision>2</cp:revision>
  <cp:lastPrinted>2014-08-26T16:13:00Z</cp:lastPrinted>
  <dcterms:created xsi:type="dcterms:W3CDTF">2015-01-13T18:09:00Z</dcterms:created>
  <dcterms:modified xsi:type="dcterms:W3CDTF">2015-01-13T18:09:00Z</dcterms:modified>
</cp:coreProperties>
</file>